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5B62EC">
      <w:pPr>
        <w:tabs>
          <w:tab w:val="left" w:pos="1134"/>
        </w:tabs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D84">
        <w:rPr>
          <w:noProof/>
          <w:lang w:eastAsia="ru-RU"/>
        </w:rPr>
        <w:pict>
          <v:rect id="Прямоугольник 63" o:spid="_x0000_s1026" style="position:absolute;left:0;text-align:left;margin-left:-85.05pt;margin-top:-216.25pt;width:28.95pt;height:992.1pt;rotation:180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 w:rsidR="00BA4D84">
        <w:rPr>
          <w:noProof/>
          <w:lang w:eastAsia="ru-RU"/>
        </w:rPr>
        <w:pict>
          <v:rect id="Прямоугольник 66" o:spid="_x0000_s1036" style="position:absolute;left:0;text-align:left;margin-left:483.45pt;margin-top:-65.6pt;width:28.95pt;height:819.95pt;rotation:180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  <w:r w:rsidR="00BA4D84">
        <w:rPr>
          <w:noProof/>
          <w:lang w:eastAsia="ru-RU"/>
        </w:rPr>
        <w:pict>
          <v:rect id="Прямоугольник 46" o:spid="_x0000_s1035" style="position:absolute;left:0;text-align:left;margin-left:185.45pt;margin-top:-370.5pt;width:29pt;height:637.8pt;rotation:90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</w:pic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BA4D84" w:rsidP="00347C4C">
      <w:r>
        <w:rPr>
          <w:noProof/>
          <w:lang w:eastAsia="ru-RU"/>
        </w:rPr>
        <w:pict>
          <v:rect id="Прямоугольник 18" o:spid="_x0000_s1034" style="position:absolute;left:0;text-align:left;margin-left:.6pt;margin-top:327.75pt;width:603.85pt;height:161.5pt;z-index:25166336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<v:textbox>
              <w:txbxContent>
                <w:p w:rsidR="008C74BB" w:rsidRPr="008152DA" w:rsidRDefault="008C74BB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 отчет</w:t>
                  </w:r>
                </w:p>
                <w:p w:rsidR="008C74BB" w:rsidRPr="008152DA" w:rsidRDefault="008C74BB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DISCOVERY RESEARCH GROUP</w:t>
                  </w:r>
                </w:p>
                <w:sdt>
                  <w:sdtPr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alias w:val="Название"/>
                    <w:tag w:val=""/>
                    <w:id w:val="-993323735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:rsidR="008C74BB" w:rsidRPr="00721502" w:rsidRDefault="008C74BB" w:rsidP="00721502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72150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Рынок консалтинговых услуг в России в 2013 г.</w:t>
                      </w:r>
                    </w:p>
                  </w:sdtContent>
                </w:sdt>
              </w:txbxContent>
            </v:textbox>
            <w10:wrap type="topAndBottom" anchorx="page" anchory="margin"/>
          </v:rect>
        </w:pic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4D84">
        <w:rPr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BA4D84">
      <w:pPr>
        <w:spacing w:after="160" w:line="259" w:lineRule="auto"/>
        <w:ind w:firstLine="0"/>
      </w:pPr>
      <w:r>
        <w:rPr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8C74BB" w:rsidRPr="008152DA" w:rsidRDefault="008C74BB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 w:rsidR="00D85E84" w:rsidRPr="00D85E84">
        <w:rPr>
          <w:b/>
          <w:color w:val="0F81BF"/>
        </w:rPr>
        <w:t xml:space="preserve"> </w:t>
      </w:r>
      <w:r w:rsidRPr="00626625">
        <w:rPr>
          <w:b/>
          <w:color w:val="0F81BF"/>
        </w:rPr>
        <w:t>ResearchGroup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BA4D84" w:rsidP="00626625">
      <w:r>
        <w:rPr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4144;visibility:visible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strokecolor="#0f81bf" strokeweight="1pt">
            <v:stroke joinstyle="miter"/>
          </v:roundrect>
        </w:pic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>Задачи, поставленные и решаемые в настоящем отчете</w:t>
      </w:r>
      <w:r w:rsidR="00BF1EA1">
        <w:rPr>
          <w:b/>
        </w:rPr>
        <w:t>,</w:t>
      </w:r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LeasingAdvisoryServices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BuildReport, Строительный бизнес.</w:t>
      </w:r>
    </w:p>
    <w:p w:rsidR="00D85E84" w:rsidRDefault="00626625" w:rsidP="00D85E84">
      <w:r>
        <w:t xml:space="preserve">Агентство </w:t>
      </w:r>
      <w:r w:rsidRPr="009454AA">
        <w:rPr>
          <w:b/>
          <w:color w:val="0F81BF"/>
        </w:rPr>
        <w:t>DISCOVERY ResearchGroup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D85E84">
      <w:r>
        <w:t xml:space="preserve"> Сотрудники агентства </w:t>
      </w:r>
      <w:r w:rsidRPr="009454AA">
        <w:rPr>
          <w:b/>
          <w:color w:val="0F81BF"/>
        </w:rPr>
        <w:t>DISCOVERY ResearchGroup</w:t>
      </w:r>
      <w:r>
        <w:t xml:space="preserve"> выполняли проекты для ведущих российских и зар</w:t>
      </w:r>
      <w:r w:rsidR="00D85E84">
        <w:t>убежных компаний, среди которых:</w:t>
      </w:r>
    </w:p>
    <w:p w:rsidR="00AF1A24" w:rsidRDefault="00AF1A24">
      <w:pPr>
        <w:spacing w:after="160" w:line="259" w:lineRule="auto"/>
        <w:ind w:firstLine="0"/>
      </w:pPr>
    </w:p>
    <w:p w:rsidR="00D85E84" w:rsidRDefault="00D85E84">
      <w:pPr>
        <w:spacing w:after="160" w:line="259" w:lineRule="auto"/>
        <w:ind w:firstLine="0"/>
      </w:pPr>
    </w:p>
    <w:p w:rsidR="00D85E84" w:rsidRDefault="00D85E84">
      <w:pPr>
        <w:spacing w:after="160" w:line="259" w:lineRule="auto"/>
        <w:ind w:firstLine="0"/>
      </w:pPr>
    </w:p>
    <w:p w:rsidR="00D85E84" w:rsidRDefault="00D85E84">
      <w:pPr>
        <w:spacing w:after="160" w:line="259" w:lineRule="auto"/>
        <w:ind w:firstLine="0"/>
      </w:pPr>
    </w:p>
    <w:p w:rsidR="00D85E84" w:rsidRDefault="00D85E84">
      <w:pPr>
        <w:spacing w:after="160" w:line="259" w:lineRule="auto"/>
        <w:ind w:firstLine="0"/>
      </w:pPr>
    </w:p>
    <w:p w:rsidR="00D85E84" w:rsidRDefault="00D85E84">
      <w:pPr>
        <w:spacing w:after="160" w:line="259" w:lineRule="auto"/>
        <w:ind w:firstLine="0"/>
      </w:pPr>
    </w:p>
    <w:p w:rsidR="00D85E84" w:rsidRDefault="00D85E84">
      <w:pPr>
        <w:spacing w:after="160" w:line="259" w:lineRule="auto"/>
        <w:ind w:firstLine="0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Автомобильныешины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ExxonMobil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АлтайскийШинныйКомбинат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Ursa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lastRenderedPageBreak/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Аудитиконсалтинг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DeutscheBank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</w:t>
            </w:r>
            <w:r w:rsidRPr="009E7C3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Барс</w:t>
            </w:r>
            <w:r w:rsidRPr="009E7C3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BeiersdorfAg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9E7C3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YvesRocher</w:t>
            </w:r>
          </w:p>
          <w:p w:rsidR="00B32555" w:rsidRPr="009E7C3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9E7C3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Pr="003D723A" w:rsidRDefault="00F134EC" w:rsidP="00AF1A24">
      <w:pPr>
        <w:spacing w:after="160" w:line="259" w:lineRule="auto"/>
        <w:ind w:firstLine="0"/>
      </w:pPr>
    </w:p>
    <w:p w:rsidR="007F4320" w:rsidRPr="003D723A" w:rsidRDefault="007F4320" w:rsidP="00AF1A24">
      <w:pPr>
        <w:spacing w:after="160" w:line="259" w:lineRule="auto"/>
        <w:ind w:firstLine="0"/>
      </w:pPr>
    </w:p>
    <w:p w:rsidR="007F4320" w:rsidRPr="003D723A" w:rsidRDefault="007F4320" w:rsidP="00AF1A24">
      <w:pPr>
        <w:spacing w:after="160" w:line="259" w:lineRule="auto"/>
        <w:ind w:firstLine="0"/>
      </w:pP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0" w:name="_Toc341096497"/>
      <w:bookmarkStart w:id="1" w:name="_Toc350332182"/>
      <w:bookmarkStart w:id="2" w:name="_Toc357517592"/>
      <w:bookmarkStart w:id="3" w:name="_Toc357517736"/>
    </w:p>
    <w:sdt>
      <w:sdtPr>
        <w:rPr>
          <w:rFonts w:ascii="Calibri" w:eastAsiaTheme="minorHAnsi" w:hAnsi="Calibri" w:cstheme="minorBidi"/>
          <w:color w:val="auto"/>
          <w:sz w:val="24"/>
          <w:szCs w:val="22"/>
          <w:lang w:eastAsia="en-US"/>
        </w:rPr>
        <w:id w:val="4769461"/>
        <w:docPartObj>
          <w:docPartGallery w:val="Table of Contents"/>
          <w:docPartUnique/>
        </w:docPartObj>
      </w:sdtPr>
      <w:sdtEndPr/>
      <w:sdtContent>
        <w:p w:rsidR="009C7BF7" w:rsidRDefault="009C7BF7">
          <w:pPr>
            <w:pStyle w:val="afc"/>
          </w:pPr>
          <w:r>
            <w:t>Оглавление</w:t>
          </w:r>
        </w:p>
        <w:p w:rsidR="009C7BF7" w:rsidRPr="009C7BF7" w:rsidRDefault="009C7BF7" w:rsidP="009C7BF7">
          <w:pPr>
            <w:rPr>
              <w:lang w:eastAsia="ru-RU"/>
            </w:rPr>
          </w:pPr>
        </w:p>
        <w:p w:rsidR="001A29A9" w:rsidRDefault="00411B4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 w:rsidR="009C7BF7">
            <w:instrText xml:space="preserve"> TOC \o "1-3" \h \z \u </w:instrText>
          </w:r>
          <w:r>
            <w:fldChar w:fldCharType="separate"/>
          </w:r>
          <w:hyperlink w:anchor="_Toc371379976" w:history="1">
            <w:r w:rsidR="001A29A9" w:rsidRPr="00FC7F6F">
              <w:rPr>
                <w:rStyle w:val="af0"/>
                <w:noProof/>
              </w:rPr>
              <w:t>Список таблиц и диаграмм</w:t>
            </w:r>
            <w:r w:rsidR="001A29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77" w:history="1">
            <w:r w:rsidR="001A29A9" w:rsidRPr="00FC7F6F">
              <w:rPr>
                <w:rStyle w:val="af0"/>
                <w:noProof/>
              </w:rPr>
              <w:t>Таблицы: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_Toc371379977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7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78" w:history="1">
            <w:r w:rsidR="001A29A9" w:rsidRPr="00FC7F6F">
              <w:rPr>
                <w:rStyle w:val="af0"/>
                <w:noProof/>
              </w:rPr>
              <w:t>Диаграммы: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_Toc371379978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7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79" w:history="1">
            <w:r w:rsidR="001A29A9" w:rsidRPr="00FC7F6F">
              <w:rPr>
                <w:rStyle w:val="af0"/>
                <w:noProof/>
              </w:rPr>
              <w:t>1.</w:t>
            </w:r>
            <w:r w:rsidR="001A29A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1A29A9" w:rsidRPr="00FC7F6F">
              <w:rPr>
                <w:rStyle w:val="af0"/>
                <w:noProof/>
              </w:rPr>
              <w:t>Технологические характеристики исследования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_Toc371379979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0" w:history="1">
            <w:r w:rsidR="001A29A9" w:rsidRPr="00FC7F6F">
              <w:rPr>
                <w:rStyle w:val="af0"/>
                <w:noProof/>
              </w:rPr>
              <w:t>Цель исследования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_Toc371379980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1" w:history="1">
            <w:r w:rsidR="001A29A9" w:rsidRPr="00FC7F6F">
              <w:rPr>
                <w:rStyle w:val="af0"/>
                <w:noProof/>
              </w:rPr>
              <w:t>Задачи исследования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_Toc371379981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2" w:history="1">
            <w:r w:rsidR="001A29A9" w:rsidRPr="00FC7F6F">
              <w:rPr>
                <w:rStyle w:val="af0"/>
                <w:noProof/>
              </w:rPr>
              <w:t>Объект исследования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_Toc371379982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3" w:history="1">
            <w:r w:rsidR="001A29A9" w:rsidRPr="00FC7F6F">
              <w:rPr>
                <w:rStyle w:val="af0"/>
                <w:noProof/>
              </w:rPr>
              <w:t>Метод сбора данных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_Toc371379983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4" w:history="1">
            <w:r w:rsidR="001A29A9" w:rsidRPr="00FC7F6F">
              <w:rPr>
                <w:rStyle w:val="af0"/>
                <w:noProof/>
              </w:rPr>
              <w:t>Метод анализа данных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_Toc371379984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11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5" w:history="1">
            <w:r w:rsidR="001A29A9" w:rsidRPr="00FC7F6F">
              <w:rPr>
                <w:rStyle w:val="af0"/>
                <w:noProof/>
              </w:rPr>
              <w:t>Объем и структура выборки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_Toc371379985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11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6" w:history="1">
            <w:r w:rsidR="001A29A9" w:rsidRPr="00FC7F6F">
              <w:rPr>
                <w:rStyle w:val="af0"/>
                <w:noProof/>
              </w:rPr>
              <w:t>2.</w:t>
            </w:r>
            <w:r w:rsidR="001A29A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1A29A9" w:rsidRPr="00FC7F6F">
              <w:rPr>
                <w:rStyle w:val="af0"/>
                <w:noProof/>
              </w:rPr>
              <w:t>Понятие и виды консалтинговых услуг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_Toc371379986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12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7" w:history="1">
            <w:r w:rsidR="001A29A9" w:rsidRPr="00FC7F6F">
              <w:rPr>
                <w:rStyle w:val="af0"/>
                <w:noProof/>
              </w:rPr>
              <w:t>2.</w:t>
            </w:r>
            <w:r w:rsidR="001A29A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1A29A9" w:rsidRPr="00FC7F6F">
              <w:rPr>
                <w:rStyle w:val="af0"/>
                <w:noProof/>
              </w:rPr>
              <w:t>Мировой рынок консалтинговых услуг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_Toc371379987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27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8" w:history="1">
            <w:r w:rsidR="001A29A9" w:rsidRPr="00FC7F6F">
              <w:rPr>
                <w:rStyle w:val="af0"/>
                <w:noProof/>
              </w:rPr>
              <w:t>3.</w:t>
            </w:r>
            <w:r w:rsidR="001A29A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1A29A9" w:rsidRPr="00FC7F6F">
              <w:rPr>
                <w:rStyle w:val="af0"/>
                <w:noProof/>
              </w:rPr>
              <w:t>Рынок консалтинговых услуг в России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_Toc371379988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30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89" w:history="1">
            <w:r w:rsidR="001A29A9" w:rsidRPr="00FC7F6F">
              <w:rPr>
                <w:rStyle w:val="af0"/>
                <w:noProof/>
              </w:rPr>
              <w:t>4.</w:t>
            </w:r>
            <w:r w:rsidR="001A29A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1A29A9" w:rsidRPr="00FC7F6F">
              <w:rPr>
                <w:rStyle w:val="af0"/>
                <w:noProof/>
              </w:rPr>
              <w:t>Прогноз развития рынка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_Toc371379989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66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1A29A9" w:rsidRDefault="00BA4D8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379990" w:history="1">
            <w:r w:rsidR="001A29A9" w:rsidRPr="00FC7F6F">
              <w:rPr>
                <w:rStyle w:val="af0"/>
                <w:noProof/>
              </w:rPr>
              <w:t>Приложение</w:t>
            </w:r>
            <w:r w:rsidR="001A29A9">
              <w:rPr>
                <w:noProof/>
                <w:webHidden/>
              </w:rPr>
              <w:tab/>
            </w:r>
            <w:r w:rsidR="00411B42">
              <w:rPr>
                <w:noProof/>
                <w:webHidden/>
              </w:rPr>
              <w:fldChar w:fldCharType="begin"/>
            </w:r>
            <w:r w:rsidR="001A29A9">
              <w:rPr>
                <w:noProof/>
                <w:webHidden/>
              </w:rPr>
              <w:instrText xml:space="preserve"> PAGEREF _Toc371379990 \h </w:instrText>
            </w:r>
            <w:r w:rsidR="00411B42">
              <w:rPr>
                <w:noProof/>
                <w:webHidden/>
              </w:rPr>
            </w:r>
            <w:r w:rsidR="00411B42">
              <w:rPr>
                <w:noProof/>
                <w:webHidden/>
              </w:rPr>
              <w:fldChar w:fldCharType="separate"/>
            </w:r>
            <w:r w:rsidR="001A29A9">
              <w:rPr>
                <w:noProof/>
                <w:webHidden/>
              </w:rPr>
              <w:t>70</w:t>
            </w:r>
            <w:r w:rsidR="00411B42">
              <w:rPr>
                <w:noProof/>
                <w:webHidden/>
              </w:rPr>
              <w:fldChar w:fldCharType="end"/>
            </w:r>
          </w:hyperlink>
        </w:p>
        <w:p w:rsidR="009C7BF7" w:rsidRDefault="00411B42">
          <w:r>
            <w:fldChar w:fldCharType="end"/>
          </w:r>
        </w:p>
      </w:sdtContent>
    </w:sdt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9C7BF7" w:rsidRDefault="009C7BF7" w:rsidP="009C7BF7">
      <w:pPr>
        <w:rPr>
          <w:lang w:eastAsia="ru-RU"/>
        </w:rPr>
      </w:pPr>
    </w:p>
    <w:p w:rsidR="00D85E84" w:rsidRDefault="00D85E84" w:rsidP="007C0FA2">
      <w:pPr>
        <w:pStyle w:val="I"/>
        <w:outlineLvl w:val="0"/>
        <w:rPr>
          <w:b w:val="0"/>
          <w:color w:val="auto"/>
          <w:sz w:val="24"/>
          <w:lang w:eastAsia="ru-RU"/>
        </w:rPr>
      </w:pPr>
      <w:bookmarkStart w:id="4" w:name="_Toc362273567"/>
      <w:bookmarkStart w:id="5" w:name="_Toc362359809"/>
      <w:bookmarkStart w:id="6" w:name="_Toc371369022"/>
    </w:p>
    <w:p w:rsidR="00AF1A24" w:rsidRPr="008C0A8F" w:rsidRDefault="00AF1A24" w:rsidP="007C0FA2">
      <w:pPr>
        <w:pStyle w:val="I"/>
        <w:outlineLvl w:val="0"/>
      </w:pPr>
      <w:bookmarkStart w:id="7" w:name="_Toc371379976"/>
      <w:r w:rsidRPr="003778AA">
        <w:lastRenderedPageBreak/>
        <w:t>Список таблиц и диаграмм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84BCD" w:rsidRDefault="00AF1A24" w:rsidP="00984BCD">
      <w:r>
        <w:t xml:space="preserve">Отчет содержит </w:t>
      </w:r>
      <w:r w:rsidRPr="005C2737">
        <w:t>1</w:t>
      </w:r>
      <w:r w:rsidR="00BA4D84">
        <w:rPr>
          <w:lang w:val="en-US"/>
        </w:rPr>
        <w:t>4</w:t>
      </w:r>
      <w:bookmarkStart w:id="8" w:name="_GoBack"/>
      <w:bookmarkEnd w:id="8"/>
      <w:r w:rsidR="00984BCD">
        <w:t xml:space="preserve"> таблиц и 16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9" w:name="_Toc362273568"/>
      <w:bookmarkStart w:id="10" w:name="_Toc362359810"/>
      <w:bookmarkStart w:id="11" w:name="_Toc371369023"/>
      <w:bookmarkStart w:id="12" w:name="_Toc371379977"/>
      <w:r w:rsidRPr="009705E0">
        <w:t>Таблицы:</w:t>
      </w:r>
      <w:bookmarkEnd w:id="9"/>
      <w:bookmarkEnd w:id="10"/>
      <w:bookmarkEnd w:id="11"/>
      <w:bookmarkEnd w:id="12"/>
    </w:p>
    <w:bookmarkStart w:id="13" w:name="_Toc362273569"/>
    <w:p w:rsidR="00540168" w:rsidRDefault="00411B42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 w:rsidRPr="001A29A9">
        <w:rPr>
          <w:rFonts w:eastAsia="Calibri" w:cs="Times New Roman"/>
          <w:b/>
          <w:bCs/>
          <w:color w:val="auto"/>
          <w:szCs w:val="24"/>
          <w:shd w:val="clear" w:color="auto" w:fill="FFFFFF"/>
        </w:rPr>
        <w:fldChar w:fldCharType="begin"/>
      </w:r>
      <w:r w:rsidR="007706DC" w:rsidRPr="001A29A9">
        <w:rPr>
          <w:color w:val="auto"/>
          <w:szCs w:val="24"/>
        </w:rPr>
        <w:instrText xml:space="preserve"> TOC \f A \h \z \t "Название таблиц" \c </w:instrText>
      </w:r>
      <w:r w:rsidRPr="001A29A9">
        <w:rPr>
          <w:rFonts w:eastAsia="Calibri" w:cs="Times New Roman"/>
          <w:b/>
          <w:bCs/>
          <w:color w:val="auto"/>
          <w:szCs w:val="24"/>
          <w:shd w:val="clear" w:color="auto" w:fill="FFFFFF"/>
        </w:rPr>
        <w:fldChar w:fldCharType="separate"/>
      </w:r>
      <w:hyperlink w:anchor="_Toc371600308" w:history="1">
        <w:r w:rsidR="00540168" w:rsidRPr="00CA5066">
          <w:rPr>
            <w:rStyle w:val="af0"/>
            <w:noProof/>
          </w:rPr>
          <w:t>Таблица 1. Объем рынка консалтинговых услуг в сфере управления по странам и регионам, млрд. долл.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_Toc371600308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28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09" w:history="1">
        <w:r w:rsidR="00540168" w:rsidRPr="00CA5066">
          <w:rPr>
            <w:rStyle w:val="af0"/>
            <w:noProof/>
          </w:rPr>
          <w:t>Таблица 2. Численность персонала и выручка «Большой четверки» в 2012 г.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_Toc371600309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30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0" w:history="1">
        <w:r w:rsidR="00540168" w:rsidRPr="00CA5066">
          <w:rPr>
            <w:rStyle w:val="af0"/>
            <w:noProof/>
          </w:rPr>
          <w:t>Таблица 4. ТОП-20: ИТ-консалтинг (управленческое консультирование)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_Toc371600310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39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1" w:history="1">
        <w:r w:rsidR="00540168" w:rsidRPr="00CA5066">
          <w:rPr>
            <w:rStyle w:val="af0"/>
            <w:noProof/>
          </w:rPr>
          <w:t>Таблица 5. ТОП-20: ИТ-консалтинг (разработка и системная интеграция)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_Toc371600311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39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2" w:history="1">
        <w:r w:rsidR="00540168" w:rsidRPr="00CA5066">
          <w:rPr>
            <w:rStyle w:val="af0"/>
            <w:noProof/>
          </w:rPr>
          <w:t>Таблица 6. Выручка крупнейших российских компаний в области IT-консалтинга (разработка и системная интеграция)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_Toc371600312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40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3" w:history="1">
        <w:r w:rsidR="00540168" w:rsidRPr="00CA5066">
          <w:rPr>
            <w:rStyle w:val="af0"/>
            <w:noProof/>
          </w:rPr>
          <w:t>Таблица 7. ТОП-20: оценочная деятельность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_Toc371600313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42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4" w:history="1">
        <w:r w:rsidR="00540168" w:rsidRPr="00CA5066">
          <w:rPr>
            <w:rStyle w:val="af0"/>
            <w:noProof/>
          </w:rPr>
          <w:t>Таблица 8. ТОП-20: финансовый консалтинг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_Toc371600314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45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5" w:history="1">
        <w:r w:rsidR="00540168" w:rsidRPr="00CA5066">
          <w:rPr>
            <w:rStyle w:val="af0"/>
            <w:noProof/>
          </w:rPr>
          <w:t>Таблица 9. Топ-20 компаний по объему выручки в сегменте налоговый консалтинг в 2012 г., тыс.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_Toc371600315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51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6" w:history="1">
        <w:r w:rsidR="00540168" w:rsidRPr="00CA5066">
          <w:rPr>
            <w:rStyle w:val="af0"/>
            <w:noProof/>
          </w:rPr>
          <w:t>Таблица 10. Топ-20 компаний по объему выручки в сегменте юридический консалтинг, тыс.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_Toc371600316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55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7" w:history="1">
        <w:r w:rsidR="00540168" w:rsidRPr="00CA5066">
          <w:rPr>
            <w:rStyle w:val="af0"/>
            <w:noProof/>
          </w:rPr>
          <w:t>Таблица 11. Топ-20 компаний по объему выручки в сегменте «управление персоналом» в 2012 г., тыс.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_Toc371600317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59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8" w:history="1">
        <w:r w:rsidR="00540168" w:rsidRPr="00CA5066">
          <w:rPr>
            <w:rStyle w:val="af0"/>
            <w:noProof/>
          </w:rPr>
          <w:t>Таблица 12. Топ-20 компаний по объему выручки в сегменте «производство товаров и услуг» в 2012 г., тыс.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_Toc371600318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61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19" w:history="1">
        <w:r w:rsidR="00540168" w:rsidRPr="00CA5066">
          <w:rPr>
            <w:rStyle w:val="af0"/>
            <w:noProof/>
          </w:rPr>
          <w:t>Таблица 13. Топ-20 компаний по выручке в сегменте «маркетинг» в 2012 г., тыс.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_Toc371600319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64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20" w:history="1">
        <w:r w:rsidR="00540168" w:rsidRPr="00CA5066">
          <w:rPr>
            <w:rStyle w:val="af0"/>
            <w:noProof/>
          </w:rPr>
          <w:t>Таблица</w:t>
        </w:r>
        <w:r w:rsidR="00BF000F">
          <w:rPr>
            <w:rStyle w:val="af0"/>
            <w:noProof/>
            <w:lang w:val="en-US"/>
          </w:rPr>
          <w:t xml:space="preserve"> 14</w:t>
        </w:r>
        <w:r w:rsidR="00540168" w:rsidRPr="00CA5066">
          <w:rPr>
            <w:rStyle w:val="af0"/>
            <w:noProof/>
          </w:rPr>
          <w:t>. Список 50 крупнейших консалтинговых групп в России по итогам 2012 года.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_Toc371600320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71</w:t>
        </w:r>
        <w:r w:rsidR="00540168">
          <w:rPr>
            <w:noProof/>
            <w:webHidden/>
          </w:rPr>
          <w:fldChar w:fldCharType="end"/>
        </w:r>
      </w:hyperlink>
    </w:p>
    <w:p w:rsidR="00D85E84" w:rsidRDefault="00411B42" w:rsidP="009C7BF7">
      <w:pPr>
        <w:pStyle w:val="II"/>
        <w:outlineLvl w:val="1"/>
      </w:pPr>
      <w:r w:rsidRPr="001A29A9">
        <w:rPr>
          <w:rFonts w:asciiTheme="minorHAnsi" w:hAnsiTheme="minorHAnsi"/>
          <w:b w:val="0"/>
          <w:color w:val="auto"/>
          <w:szCs w:val="24"/>
        </w:rPr>
        <w:fldChar w:fldCharType="end"/>
      </w:r>
      <w:bookmarkEnd w:id="13"/>
      <w:r w:rsidR="009C7BF7" w:rsidRPr="009C7BF7">
        <w:t xml:space="preserve"> </w:t>
      </w:r>
      <w:bookmarkStart w:id="14" w:name="_Toc371379978"/>
      <w:r w:rsidR="009C7BF7">
        <w:t>Диаграммы</w:t>
      </w:r>
      <w:r w:rsidR="009C7BF7" w:rsidRPr="009705E0">
        <w:t>:</w:t>
      </w:r>
      <w:bookmarkEnd w:id="14"/>
    </w:p>
    <w:p w:rsidR="00540168" w:rsidRDefault="00411B42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 w:rsidRPr="00984BCD">
        <w:rPr>
          <w:color w:val="3494BA" w:themeColor="accent1"/>
          <w:sz w:val="20"/>
          <w:szCs w:val="20"/>
        </w:rPr>
        <w:fldChar w:fldCharType="begin"/>
      </w:r>
      <w:r w:rsidR="007706DC" w:rsidRPr="00984BCD">
        <w:rPr>
          <w:color w:val="3494BA" w:themeColor="accent1"/>
          <w:sz w:val="20"/>
          <w:szCs w:val="20"/>
        </w:rPr>
        <w:instrText xml:space="preserve"> TOC \f A \h \z \t "Название объекта;Название диаграмм" \c </w:instrText>
      </w:r>
      <w:r w:rsidRPr="00984BCD">
        <w:rPr>
          <w:color w:val="3494BA" w:themeColor="accent1"/>
          <w:sz w:val="20"/>
          <w:szCs w:val="20"/>
        </w:rPr>
        <w:fldChar w:fldCharType="separate"/>
      </w:r>
      <w:hyperlink w:anchor="_Toc371600338" w:history="1">
        <w:r w:rsidR="00540168" w:rsidRPr="008D4309">
          <w:rPr>
            <w:rStyle w:val="af0"/>
            <w:noProof/>
          </w:rPr>
          <w:t>Диаграмма 1. Объем мирового рынка консалтинговых услуг в сфере управления в 1998-2012 гг., млрд. долл.и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_Toc371600338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27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39" w:history="1">
        <w:r w:rsidR="00540168" w:rsidRPr="008D4309">
          <w:rPr>
            <w:rStyle w:val="af0"/>
            <w:noProof/>
          </w:rPr>
          <w:t>Диаграмма 2. Доли стран Европы на мировом рынке консалтинговых услуг в сфере управления,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_Toc371600339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28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0" w:history="1">
        <w:r w:rsidR="00540168" w:rsidRPr="008D4309">
          <w:rPr>
            <w:rStyle w:val="af0"/>
            <w:noProof/>
          </w:rPr>
          <w:t>Диаграмма 3. Объем и темпы прироста рынка консалтинговых услуг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_Toc371600340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31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1" w:history="1">
        <w:r w:rsidR="00540168" w:rsidRPr="008D4309">
          <w:rPr>
            <w:rStyle w:val="af0"/>
            <w:noProof/>
          </w:rPr>
          <w:t>Диаграмма 4. Объем и темпы прироста рынка консалтинговых услуг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_Toc371600341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32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2" w:history="1">
        <w:r w:rsidR="00540168" w:rsidRPr="008D4309">
          <w:rPr>
            <w:rStyle w:val="af0"/>
            <w:noProof/>
          </w:rPr>
          <w:t>Диаграмма 5. Объем и темпы прироста рынка консалтинговых услуг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_Toc371600342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33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3" w:history="1">
        <w:r w:rsidR="00540168" w:rsidRPr="008D4309">
          <w:rPr>
            <w:rStyle w:val="af0"/>
            <w:noProof/>
          </w:rPr>
          <w:t>Таблица 3. Список крупнейших консалтинговых групп России по итогам 2012 г.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_Toc371600343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34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4" w:history="1">
        <w:r w:rsidR="00540168" w:rsidRPr="008D4309">
          <w:rPr>
            <w:rStyle w:val="af0"/>
            <w:noProof/>
          </w:rPr>
          <w:t>Диаграмма 6. Структура российского рынка консалтинга по объему выручки от консультационных услуг в 2012 г., %.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_Toc371600344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36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5" w:history="1">
        <w:r w:rsidR="00540168" w:rsidRPr="008D4309">
          <w:rPr>
            <w:rStyle w:val="af0"/>
            <w:noProof/>
          </w:rPr>
          <w:t>Диаграмма 7. Объем и темпы прироста рынка консалтинговых услуг в сфере информационных технологий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_Toc371600345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37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6" w:history="1">
        <w:r w:rsidR="00540168" w:rsidRPr="008D4309">
          <w:rPr>
            <w:rStyle w:val="af0"/>
            <w:noProof/>
          </w:rPr>
          <w:t>Диаграмма 8. Объем и темпы прироста рынка консалтинговых услуг в сфере оценочной деятельности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_Toc371600346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41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7" w:history="1">
        <w:r w:rsidR="00540168" w:rsidRPr="008D4309">
          <w:rPr>
            <w:rStyle w:val="af0"/>
            <w:noProof/>
          </w:rPr>
          <w:t>Диаграмма 9. Объем и темпы прироста рынка финансового консалтинга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_Toc371600347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43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8" w:history="1">
        <w:r w:rsidR="00540168" w:rsidRPr="008D4309">
          <w:rPr>
            <w:rStyle w:val="af0"/>
            <w:noProof/>
          </w:rPr>
          <w:t>Диаграмма 10. Объем и темпы прироста рынка консалтинговых услуг в сфере общего управления и администрирования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_Toc371600348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47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49" w:history="1">
        <w:r w:rsidR="00540168" w:rsidRPr="008D4309">
          <w:rPr>
            <w:rStyle w:val="af0"/>
            <w:noProof/>
          </w:rPr>
          <w:t>Диаграмма 11. Объем и темпы прироста рынка налогового консалтинга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_Toc371600349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50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50" w:history="1">
        <w:r w:rsidR="00540168" w:rsidRPr="008D4309">
          <w:rPr>
            <w:rStyle w:val="af0"/>
            <w:noProof/>
          </w:rPr>
          <w:t>Диаграмма 12. Объем и темпы прироста рынка юридического консалтинга в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_Toc371600350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53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51" w:history="1">
        <w:r w:rsidR="00540168" w:rsidRPr="008D4309">
          <w:rPr>
            <w:rStyle w:val="af0"/>
            <w:noProof/>
          </w:rPr>
          <w:t>Диаграмма 13. Объем и темпы прироста рынка консалтинга в сфере реструктуризации предприятий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_Toc371600351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56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52" w:history="1">
        <w:r w:rsidR="00540168" w:rsidRPr="008D4309">
          <w:rPr>
            <w:rStyle w:val="af0"/>
            <w:noProof/>
          </w:rPr>
          <w:t>Диаграмма 14. Объем и темпы прироста рынка консалтинга в сфере управления персоналом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_Toc371600352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57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53" w:history="1">
        <w:r w:rsidR="00540168" w:rsidRPr="008D4309">
          <w:rPr>
            <w:rStyle w:val="af0"/>
            <w:noProof/>
          </w:rPr>
          <w:t>Диаграмма 15. Объем и темпы прироста рынка консалтинга в сфере производства товаров и услуг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_Toc371600353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59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BA4D84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1600354" w:history="1">
        <w:r w:rsidR="00540168" w:rsidRPr="008D4309">
          <w:rPr>
            <w:rStyle w:val="af0"/>
            <w:noProof/>
          </w:rPr>
          <w:t>Диаграмма 16. Объем и темпы прироста рынка консалтинга в сфере маркетинга России в 2007 - 2012 гг., млрд. руб. и %</w:t>
        </w:r>
        <w:r w:rsidR="00540168">
          <w:rPr>
            <w:noProof/>
            <w:webHidden/>
          </w:rPr>
          <w:tab/>
        </w:r>
        <w:r w:rsidR="00540168">
          <w:rPr>
            <w:noProof/>
            <w:webHidden/>
          </w:rPr>
          <w:fldChar w:fldCharType="begin"/>
        </w:r>
        <w:r w:rsidR="00540168">
          <w:rPr>
            <w:noProof/>
            <w:webHidden/>
          </w:rPr>
          <w:instrText xml:space="preserve"> PAGEREF _Toc371600354 \h </w:instrText>
        </w:r>
        <w:r w:rsidR="00540168">
          <w:rPr>
            <w:noProof/>
            <w:webHidden/>
          </w:rPr>
        </w:r>
        <w:r w:rsidR="00540168">
          <w:rPr>
            <w:noProof/>
            <w:webHidden/>
          </w:rPr>
          <w:fldChar w:fldCharType="separate"/>
        </w:r>
        <w:r w:rsidR="00540168">
          <w:rPr>
            <w:noProof/>
            <w:webHidden/>
          </w:rPr>
          <w:t>62</w:t>
        </w:r>
        <w:r w:rsidR="00540168">
          <w:rPr>
            <w:noProof/>
            <w:webHidden/>
          </w:rPr>
          <w:fldChar w:fldCharType="end"/>
        </w:r>
      </w:hyperlink>
    </w:p>
    <w:p w:rsidR="00540168" w:rsidRDefault="00411B42" w:rsidP="00540168">
      <w:r w:rsidRPr="00984BCD">
        <w:fldChar w:fldCharType="end"/>
      </w:r>
      <w:bookmarkStart w:id="15" w:name="_Toc362273570"/>
      <w:bookmarkStart w:id="16" w:name="_Toc362359812"/>
      <w:bookmarkStart w:id="17" w:name="_Toc371369025"/>
    </w:p>
    <w:p w:rsidR="00540168" w:rsidRDefault="00540168">
      <w:pPr>
        <w:spacing w:after="160" w:line="259" w:lineRule="auto"/>
        <w:ind w:firstLine="0"/>
        <w:jc w:val="left"/>
      </w:pPr>
      <w:r>
        <w:br w:type="page"/>
      </w:r>
    </w:p>
    <w:p w:rsidR="00AF1A24" w:rsidRDefault="00C35D01" w:rsidP="00540168">
      <w:pPr>
        <w:pStyle w:val="I"/>
      </w:pPr>
      <w:r>
        <w:lastRenderedPageBreak/>
        <w:t>Резюме</w:t>
      </w:r>
      <w:bookmarkEnd w:id="15"/>
      <w:bookmarkEnd w:id="16"/>
      <w:bookmarkEnd w:id="17"/>
    </w:p>
    <w:p w:rsidR="00F64343" w:rsidRPr="00984BCD" w:rsidRDefault="00B821CD" w:rsidP="00F64343">
      <w:pPr>
        <w:contextualSpacing/>
        <w:rPr>
          <w:rFonts w:asciiTheme="minorHAnsi" w:hAnsiTheme="minorHAnsi"/>
          <w:szCs w:val="24"/>
        </w:rPr>
      </w:pPr>
      <w:r w:rsidRPr="00984BCD">
        <w:rPr>
          <w:rFonts w:asciiTheme="minorHAnsi" w:hAnsiTheme="minorHAnsi"/>
          <w:szCs w:val="24"/>
        </w:rPr>
        <w:t>В октябре</w:t>
      </w:r>
      <w:r w:rsidR="007673CE" w:rsidRPr="00984BCD">
        <w:rPr>
          <w:rFonts w:asciiTheme="minorHAnsi" w:hAnsiTheme="minorHAnsi"/>
          <w:szCs w:val="24"/>
        </w:rPr>
        <w:t xml:space="preserve"> 2013 года маркетинговое агентство DISCOVERY ResearchGroup завершило исследов</w:t>
      </w:r>
      <w:r w:rsidRPr="00984BCD">
        <w:rPr>
          <w:rFonts w:asciiTheme="minorHAnsi" w:hAnsiTheme="minorHAnsi"/>
          <w:szCs w:val="24"/>
        </w:rPr>
        <w:t>ание рынка консалтинговых услуг в России</w:t>
      </w:r>
      <w:r w:rsidR="007673CE" w:rsidRPr="00984BCD">
        <w:rPr>
          <w:rFonts w:asciiTheme="minorHAnsi" w:hAnsiTheme="minorHAnsi"/>
          <w:szCs w:val="24"/>
        </w:rPr>
        <w:t>.</w:t>
      </w:r>
    </w:p>
    <w:p w:rsidR="00A85F8B" w:rsidRPr="00984BCD" w:rsidRDefault="00A85F8B" w:rsidP="00F64343">
      <w:pPr>
        <w:contextualSpacing/>
        <w:rPr>
          <w:rFonts w:asciiTheme="minorHAnsi" w:hAnsiTheme="minorHAnsi"/>
          <w:color w:val="000000"/>
          <w:szCs w:val="24"/>
          <w:shd w:val="clear" w:color="auto" w:fill="FFFFFF"/>
        </w:rPr>
      </w:pPr>
      <w:r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В странах с рыночной экономикой приглашение профессионалов-консультантов свидетельствует о том, что фирма обладает достаточной деловой культурой, чтобы использовать предлагаемый рынком интеллектуальный капитал в области менеджмента. Ни одно серьезное экономическое и управленческое решение в странах с рыночной экономикой как в развитых, так и в развивающихся (Индия, Бразилия), не обходится без использования индивидуальных, а чаще объединенных в консультационные фирмы консультантов. Консультационные услуги на коммерческих началах оказывают также государственные учебные, информационные и исследовательские организации: университеты, академии, научные институты, информационные центры и т.д. </w:t>
      </w:r>
    </w:p>
    <w:p w:rsidR="00A85F8B" w:rsidRPr="00984BCD" w:rsidRDefault="00A85F8B" w:rsidP="00A85F8B">
      <w:pPr>
        <w:contextualSpacing/>
        <w:rPr>
          <w:rFonts w:asciiTheme="minorHAnsi" w:hAnsiTheme="minorHAnsi"/>
          <w:color w:val="000000"/>
          <w:szCs w:val="24"/>
          <w:shd w:val="clear" w:color="auto" w:fill="FFFFFF"/>
        </w:rPr>
      </w:pPr>
      <w:r w:rsidRPr="00984BCD">
        <w:rPr>
          <w:rStyle w:val="apple-converted-space"/>
          <w:rFonts w:asciiTheme="minorHAnsi" w:hAnsiTheme="minorHAnsi"/>
          <w:color w:val="000000"/>
          <w:szCs w:val="24"/>
        </w:rPr>
        <w:t xml:space="preserve">Обычно выделяются и являются востребованными на </w:t>
      </w:r>
      <w:r w:rsidR="002E7FB3">
        <w:rPr>
          <w:rStyle w:val="apple-converted-space"/>
          <w:rFonts w:asciiTheme="minorHAnsi" w:hAnsiTheme="minorHAnsi"/>
          <w:color w:val="000000"/>
          <w:szCs w:val="24"/>
        </w:rPr>
        <w:t>сегодняшний день</w:t>
      </w:r>
      <w:r w:rsidRPr="00984BCD">
        <w:rPr>
          <w:rStyle w:val="apple-converted-space"/>
          <w:rFonts w:asciiTheme="minorHAnsi" w:hAnsiTheme="minorHAnsi"/>
          <w:color w:val="000000"/>
          <w:szCs w:val="24"/>
        </w:rPr>
        <w:t xml:space="preserve"> следующие виды консалтинговых услуг: </w:t>
      </w:r>
      <w:r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общее управление </w:t>
      </w:r>
      <w:r w:rsidR="002E7FB3">
        <w:rPr>
          <w:rFonts w:asciiTheme="minorHAnsi" w:hAnsiTheme="minorHAnsi"/>
          <w:color w:val="000000"/>
          <w:szCs w:val="24"/>
          <w:shd w:val="clear" w:color="auto" w:fill="FFFFFF"/>
        </w:rPr>
        <w:t>и администрирование; финансовый,</w:t>
      </w:r>
      <w:r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 ю</w:t>
      </w:r>
      <w:r w:rsidR="002E7FB3">
        <w:rPr>
          <w:rFonts w:asciiTheme="minorHAnsi" w:hAnsiTheme="minorHAnsi"/>
          <w:color w:val="000000"/>
          <w:szCs w:val="24"/>
          <w:shd w:val="clear" w:color="auto" w:fill="FFFFFF"/>
        </w:rPr>
        <w:t>ридический, налоговый, маркетинговый,</w:t>
      </w:r>
      <w:r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 IT- консалтинг; управление кадрами; производственный консалтинг; оценочная деятельность.</w:t>
      </w:r>
    </w:p>
    <w:p w:rsidR="007F4320" w:rsidRPr="00984BCD" w:rsidRDefault="00A85F8B" w:rsidP="00A85F8B">
      <w:pPr>
        <w:contextualSpacing/>
        <w:rPr>
          <w:rStyle w:val="apple-converted-space"/>
          <w:rFonts w:asciiTheme="minorHAnsi" w:hAnsiTheme="minorHAnsi"/>
          <w:color w:val="000000"/>
          <w:szCs w:val="24"/>
        </w:rPr>
      </w:pPr>
      <w:r w:rsidRPr="00984BCD">
        <w:rPr>
          <w:rFonts w:asciiTheme="minorHAnsi" w:hAnsiTheme="minorHAnsi"/>
          <w:color w:val="000000"/>
          <w:szCs w:val="24"/>
          <w:shd w:val="clear" w:color="auto" w:fill="FFFFFF"/>
        </w:rPr>
        <w:t>В основном все эти сегменты успешно развиваю</w:t>
      </w:r>
      <w:r w:rsidR="003D723A"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тся, в том числе на российском рынке, </w:t>
      </w:r>
      <w:r w:rsidR="007F4320"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на что указывают показатели </w:t>
      </w:r>
      <w:r w:rsidR="003D723A" w:rsidRPr="00984BCD">
        <w:rPr>
          <w:rFonts w:asciiTheme="minorHAnsi" w:hAnsiTheme="minorHAnsi"/>
          <w:color w:val="000000"/>
          <w:szCs w:val="24"/>
          <w:shd w:val="clear" w:color="auto" w:fill="FFFFFF"/>
        </w:rPr>
        <w:t>его объема</w:t>
      </w:r>
      <w:r w:rsidR="007F4320" w:rsidRPr="00984BCD">
        <w:rPr>
          <w:rFonts w:asciiTheme="minorHAnsi" w:hAnsiTheme="minorHAnsi"/>
          <w:color w:val="000000"/>
          <w:szCs w:val="24"/>
          <w:shd w:val="clear" w:color="auto" w:fill="FFFFFF"/>
        </w:rPr>
        <w:t xml:space="preserve"> за последние годы. Если в 2006 году </w:t>
      </w:r>
      <w:r w:rsidR="007F4320" w:rsidRPr="00984BCD">
        <w:rPr>
          <w:rFonts w:asciiTheme="minorHAnsi" w:hAnsiTheme="minorHAnsi"/>
          <w:szCs w:val="24"/>
        </w:rPr>
        <w:t xml:space="preserve">объем рынка консалтинговых услуг в России не превышал $1,65-1,85 млрд, то к концу 2011 он составил $2,5 млрд, а уже к 2013 г. поднялся до $3 млрд. </w:t>
      </w:r>
      <w:r w:rsidR="007F4320" w:rsidRPr="00984BCD">
        <w:rPr>
          <w:rFonts w:asciiTheme="minorHAnsi" w:hAnsiTheme="minorHAnsi"/>
          <w:color w:val="000000"/>
          <w:szCs w:val="24"/>
        </w:rPr>
        <w:t>Российский рынок консультационных услуг в 2012 году вырос на 20%. Такой результат был обеспечен благодаря резкому (на 28%) росту сектора консалтинга в сфере информационных технологий, на который приходится более половины объема российского рынка консультационных услуг. Если же рассматривать рынок консалтин</w:t>
      </w:r>
      <w:r w:rsidR="009C7BF7">
        <w:rPr>
          <w:rFonts w:asciiTheme="minorHAnsi" w:hAnsiTheme="minorHAnsi"/>
          <w:color w:val="000000"/>
          <w:szCs w:val="24"/>
        </w:rPr>
        <w:t xml:space="preserve">га без учета </w:t>
      </w:r>
      <w:r w:rsidR="009C7BF7">
        <w:rPr>
          <w:rFonts w:asciiTheme="minorHAnsi" w:hAnsiTheme="minorHAnsi"/>
          <w:color w:val="000000"/>
          <w:szCs w:val="24"/>
          <w:lang w:val="en-US"/>
        </w:rPr>
        <w:t>IT</w:t>
      </w:r>
      <w:r w:rsidR="009C7BF7">
        <w:rPr>
          <w:rFonts w:asciiTheme="minorHAnsi" w:hAnsiTheme="minorHAnsi"/>
          <w:color w:val="000000"/>
          <w:szCs w:val="24"/>
        </w:rPr>
        <w:t>, рост оказался равным</w:t>
      </w:r>
      <w:r w:rsidR="007F4320" w:rsidRPr="00984BCD">
        <w:rPr>
          <w:rFonts w:asciiTheme="minorHAnsi" w:hAnsiTheme="minorHAnsi"/>
          <w:color w:val="000000"/>
          <w:szCs w:val="24"/>
        </w:rPr>
        <w:t xml:space="preserve"> 13%.</w:t>
      </w:r>
      <w:r w:rsidR="007F4320" w:rsidRPr="00984BCD">
        <w:rPr>
          <w:rStyle w:val="apple-converted-space"/>
          <w:rFonts w:asciiTheme="minorHAnsi" w:hAnsiTheme="minorHAnsi"/>
          <w:color w:val="000000"/>
          <w:szCs w:val="24"/>
        </w:rPr>
        <w:t xml:space="preserve"> Кроме консалтинга в области </w:t>
      </w:r>
      <w:r w:rsidR="007F4320" w:rsidRPr="00984BCD">
        <w:rPr>
          <w:rStyle w:val="apple-converted-space"/>
          <w:rFonts w:asciiTheme="minorHAnsi" w:hAnsiTheme="minorHAnsi"/>
          <w:color w:val="000000"/>
          <w:szCs w:val="24"/>
          <w:lang w:val="en-US"/>
        </w:rPr>
        <w:t>IT</w:t>
      </w:r>
      <w:r w:rsidR="007F4320" w:rsidRPr="00984BCD">
        <w:rPr>
          <w:rStyle w:val="apple-converted-space"/>
          <w:rFonts w:asciiTheme="minorHAnsi" w:hAnsiTheme="minorHAnsi"/>
          <w:color w:val="000000"/>
          <w:szCs w:val="24"/>
        </w:rPr>
        <w:t>, на российс</w:t>
      </w:r>
      <w:r w:rsidR="009C7BF7">
        <w:rPr>
          <w:rStyle w:val="apple-converted-space"/>
          <w:rFonts w:asciiTheme="minorHAnsi" w:hAnsiTheme="minorHAnsi"/>
          <w:color w:val="000000"/>
          <w:szCs w:val="24"/>
        </w:rPr>
        <w:t>ком рынке к 2013 году оказались</w:t>
      </w:r>
      <w:r w:rsidR="009C7BF7" w:rsidRPr="009C7BF7">
        <w:rPr>
          <w:rStyle w:val="apple-converted-space"/>
          <w:rFonts w:asciiTheme="minorHAnsi" w:hAnsiTheme="minorHAnsi"/>
          <w:color w:val="000000"/>
          <w:szCs w:val="24"/>
        </w:rPr>
        <w:t xml:space="preserve"> </w:t>
      </w:r>
      <w:r w:rsidR="007F4320" w:rsidRPr="00984BCD">
        <w:rPr>
          <w:rStyle w:val="apple-converted-space"/>
          <w:rFonts w:asciiTheme="minorHAnsi" w:hAnsiTheme="minorHAnsi"/>
          <w:color w:val="000000"/>
          <w:szCs w:val="24"/>
        </w:rPr>
        <w:t>востребован</w:t>
      </w:r>
      <w:r w:rsidRPr="00984BCD">
        <w:rPr>
          <w:rStyle w:val="apple-converted-space"/>
          <w:rFonts w:asciiTheme="minorHAnsi" w:hAnsiTheme="minorHAnsi"/>
          <w:color w:val="000000"/>
          <w:szCs w:val="24"/>
        </w:rPr>
        <w:t>ными</w:t>
      </w:r>
      <w:r w:rsidR="007F4320" w:rsidRPr="00984BCD">
        <w:rPr>
          <w:rStyle w:val="apple-converted-space"/>
          <w:rFonts w:asciiTheme="minorHAnsi" w:hAnsiTheme="minorHAnsi"/>
          <w:color w:val="000000"/>
          <w:szCs w:val="24"/>
        </w:rPr>
        <w:t xml:space="preserve"> финансовый, управленческий консалтинг, оценочная </w:t>
      </w:r>
      <w:r w:rsidR="002E7FB3">
        <w:rPr>
          <w:rStyle w:val="apple-converted-space"/>
          <w:rFonts w:asciiTheme="minorHAnsi" w:hAnsiTheme="minorHAnsi"/>
          <w:color w:val="000000"/>
          <w:szCs w:val="24"/>
        </w:rPr>
        <w:t xml:space="preserve">деятельность, также налоговый, </w:t>
      </w:r>
      <w:r w:rsidR="007F4320" w:rsidRPr="00984BCD">
        <w:rPr>
          <w:rStyle w:val="apple-converted-space"/>
          <w:rFonts w:asciiTheme="minorHAnsi" w:hAnsiTheme="minorHAnsi"/>
          <w:color w:val="000000"/>
          <w:szCs w:val="24"/>
        </w:rPr>
        <w:t>юридический консалтинг и некоторые другие</w:t>
      </w:r>
      <w:r w:rsidRPr="00984BCD">
        <w:rPr>
          <w:rStyle w:val="apple-converted-space"/>
          <w:rFonts w:asciiTheme="minorHAnsi" w:hAnsiTheme="minorHAnsi"/>
          <w:color w:val="000000"/>
          <w:szCs w:val="24"/>
        </w:rPr>
        <w:t xml:space="preserve"> его виды.</w:t>
      </w:r>
    </w:p>
    <w:p w:rsidR="00A85F8B" w:rsidRPr="009C7BF7" w:rsidRDefault="009C7BF7" w:rsidP="0084510F">
      <w:pPr>
        <w:contextualSpacing/>
        <w:rPr>
          <w:rFonts w:asciiTheme="minorHAnsi" w:hAnsiTheme="minorHAnsi"/>
          <w:color w:val="000000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zCs w:val="24"/>
        </w:rPr>
        <w:t>На сегодняшний день рын</w:t>
      </w:r>
      <w:r w:rsidR="00564EA8">
        <w:rPr>
          <w:rStyle w:val="apple-converted-space"/>
          <w:rFonts w:asciiTheme="minorHAnsi" w:hAnsiTheme="minorHAnsi"/>
          <w:color w:val="000000"/>
          <w:szCs w:val="24"/>
        </w:rPr>
        <w:t xml:space="preserve">ок консалтинговых услуг </w:t>
      </w:r>
      <w:r>
        <w:rPr>
          <w:rStyle w:val="apple-converted-space"/>
          <w:rFonts w:asciiTheme="minorHAnsi" w:hAnsiTheme="minorHAnsi"/>
          <w:color w:val="000000"/>
          <w:szCs w:val="24"/>
        </w:rPr>
        <w:t>успешно развивается, и специалисты</w:t>
      </w:r>
      <w:r w:rsidR="00564EA8">
        <w:rPr>
          <w:rStyle w:val="apple-converted-space"/>
          <w:rFonts w:asciiTheme="minorHAnsi" w:hAnsiTheme="minorHAnsi"/>
          <w:color w:val="000000"/>
          <w:szCs w:val="24"/>
        </w:rPr>
        <w:t xml:space="preserve"> в основном</w:t>
      </w:r>
      <w:r>
        <w:rPr>
          <w:rStyle w:val="apple-converted-space"/>
          <w:rFonts w:asciiTheme="minorHAnsi" w:hAnsiTheme="minorHAnsi"/>
          <w:color w:val="000000"/>
          <w:szCs w:val="24"/>
        </w:rPr>
        <w:t xml:space="preserve"> прогнозируют устойчивое его развитие в ближайшие несколько лет.</w:t>
      </w:r>
    </w:p>
    <w:p w:rsidR="00D85E84" w:rsidRDefault="00D85E84" w:rsidP="009C7BF7">
      <w:pPr>
        <w:ind w:firstLine="0"/>
      </w:pPr>
    </w:p>
    <w:p w:rsidR="00C35D01" w:rsidRDefault="00C35D01" w:rsidP="007C0FA2">
      <w:pPr>
        <w:pStyle w:val="I"/>
        <w:numPr>
          <w:ilvl w:val="0"/>
          <w:numId w:val="23"/>
        </w:numPr>
        <w:outlineLvl w:val="0"/>
      </w:pPr>
      <w:bookmarkStart w:id="18" w:name="_Toc362273571"/>
      <w:bookmarkStart w:id="19" w:name="_Toc362359813"/>
      <w:bookmarkStart w:id="20" w:name="_Toc371369026"/>
      <w:bookmarkStart w:id="21" w:name="_Toc371379979"/>
      <w:r>
        <w:lastRenderedPageBreak/>
        <w:t>Технологические характеристики исследования</w:t>
      </w:r>
      <w:bookmarkEnd w:id="18"/>
      <w:bookmarkEnd w:id="19"/>
      <w:bookmarkEnd w:id="20"/>
      <w:bookmarkEnd w:id="21"/>
    </w:p>
    <w:p w:rsidR="00C35D01" w:rsidRDefault="00C35D01" w:rsidP="007C0FA2">
      <w:pPr>
        <w:pStyle w:val="II"/>
        <w:outlineLvl w:val="1"/>
      </w:pPr>
      <w:bookmarkStart w:id="22" w:name="_Toc362273572"/>
      <w:bookmarkStart w:id="23" w:name="_Toc362359814"/>
      <w:bookmarkStart w:id="24" w:name="_Toc371369027"/>
      <w:bookmarkStart w:id="25" w:name="_Toc371379980"/>
      <w:r>
        <w:t>Цель исследования</w:t>
      </w:r>
      <w:bookmarkEnd w:id="22"/>
      <w:bookmarkEnd w:id="23"/>
      <w:bookmarkEnd w:id="24"/>
      <w:bookmarkEnd w:id="25"/>
    </w:p>
    <w:p w:rsidR="00C35D01" w:rsidRDefault="00C35D01" w:rsidP="00F27339">
      <w:r>
        <w:t>Описать текущее состояние и перспективы р</w:t>
      </w:r>
      <w:r w:rsidR="00B821CD">
        <w:t>азвития рынка консалтинговых услуг</w:t>
      </w:r>
      <w:r>
        <w:t xml:space="preserve"> в России.</w:t>
      </w:r>
    </w:p>
    <w:p w:rsidR="00C35D01" w:rsidRDefault="00C35D01" w:rsidP="007C0FA2">
      <w:pPr>
        <w:pStyle w:val="II"/>
        <w:outlineLvl w:val="1"/>
      </w:pPr>
      <w:bookmarkStart w:id="26" w:name="_Toc362273573"/>
      <w:bookmarkStart w:id="27" w:name="_Toc362359815"/>
      <w:bookmarkStart w:id="28" w:name="_Toc371369028"/>
      <w:bookmarkStart w:id="29" w:name="_Toc371379981"/>
      <w:r>
        <w:t>Задачи исследования</w:t>
      </w:r>
      <w:bookmarkEnd w:id="26"/>
      <w:bookmarkEnd w:id="27"/>
      <w:bookmarkEnd w:id="28"/>
      <w:bookmarkEnd w:id="29"/>
    </w:p>
    <w:p w:rsidR="00D94C15" w:rsidRDefault="00D94C15" w:rsidP="00D94C15">
      <w:pPr>
        <w:numPr>
          <w:ilvl w:val="0"/>
          <w:numId w:val="40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eastAsia="Calibri" w:cs="Times New Roman"/>
        </w:rPr>
      </w:pPr>
      <w:bookmarkStart w:id="30" w:name="_Toc362273574"/>
      <w:bookmarkStart w:id="31" w:name="_Toc362359816"/>
      <w:r>
        <w:rPr>
          <w:rFonts w:eastAsia="Calibri" w:cs="Times New Roman"/>
        </w:rPr>
        <w:t>Описать и классифицировать основные виды консалтинговых услуг.</w:t>
      </w:r>
    </w:p>
    <w:p w:rsidR="00D94C15" w:rsidRDefault="00D94C15" w:rsidP="00D94C15">
      <w:pPr>
        <w:spacing w:after="0" w:line="240" w:lineRule="auto"/>
        <w:ind w:left="360" w:firstLine="0"/>
      </w:pPr>
    </w:p>
    <w:p w:rsidR="00A85F8B" w:rsidRDefault="00A85F8B" w:rsidP="00A85F8B">
      <w:pPr>
        <w:numPr>
          <w:ilvl w:val="0"/>
          <w:numId w:val="40"/>
        </w:numPr>
        <w:tabs>
          <w:tab w:val="clear" w:pos="1440"/>
          <w:tab w:val="num" w:pos="720"/>
        </w:tabs>
        <w:spacing w:after="0" w:line="240" w:lineRule="auto"/>
        <w:ind w:left="360" w:firstLine="0"/>
      </w:pPr>
      <w:r>
        <w:rPr>
          <w:rFonts w:eastAsia="Calibri" w:cs="Times New Roman"/>
        </w:rPr>
        <w:t>Определить ключевые показатели мирового рынка консалтинговых услуг.</w:t>
      </w:r>
    </w:p>
    <w:p w:rsidR="00D94C15" w:rsidRDefault="00D94C15" w:rsidP="00D94C15">
      <w:pPr>
        <w:numPr>
          <w:ilvl w:val="0"/>
          <w:numId w:val="42"/>
        </w:numPr>
        <w:tabs>
          <w:tab w:val="num" w:pos="1800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объем рынка;</w:t>
      </w:r>
    </w:p>
    <w:p w:rsidR="00D94C15" w:rsidRDefault="00D94C15" w:rsidP="00D94C15">
      <w:pPr>
        <w:numPr>
          <w:ilvl w:val="0"/>
          <w:numId w:val="42"/>
        </w:numPr>
        <w:spacing w:after="0" w:line="240" w:lineRule="auto"/>
      </w:pPr>
      <w:r>
        <w:rPr>
          <w:rFonts w:eastAsia="Calibri" w:cs="Times New Roman"/>
        </w:rPr>
        <w:t>темпы роста объема рынка;</w:t>
      </w:r>
    </w:p>
    <w:p w:rsidR="00D94C15" w:rsidRDefault="00D94C15" w:rsidP="00D94C15">
      <w:pPr>
        <w:numPr>
          <w:ilvl w:val="0"/>
          <w:numId w:val="42"/>
        </w:numPr>
        <w:spacing w:after="0" w:line="240" w:lineRule="auto"/>
        <w:rPr>
          <w:rFonts w:eastAsia="Calibri" w:cs="Times New Roman"/>
        </w:rPr>
      </w:pPr>
      <w:r>
        <w:t>страны – ключевые игроки на рынке.</w:t>
      </w:r>
    </w:p>
    <w:p w:rsidR="00D94C15" w:rsidRDefault="00D94C15" w:rsidP="00D94C15">
      <w:pPr>
        <w:tabs>
          <w:tab w:val="num" w:pos="720"/>
        </w:tabs>
        <w:spacing w:after="0" w:line="240" w:lineRule="auto"/>
        <w:ind w:left="360" w:firstLine="0"/>
        <w:rPr>
          <w:rFonts w:eastAsia="Calibri" w:cs="Times New Roman"/>
        </w:rPr>
      </w:pPr>
    </w:p>
    <w:p w:rsidR="00A85F8B" w:rsidRDefault="00A85F8B" w:rsidP="00A85F8B">
      <w:pPr>
        <w:numPr>
          <w:ilvl w:val="0"/>
          <w:numId w:val="40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eastAsia="Calibri" w:cs="Times New Roman"/>
        </w:rPr>
      </w:pPr>
      <w:r>
        <w:rPr>
          <w:rFonts w:eastAsia="Calibri" w:cs="Times New Roman"/>
        </w:rPr>
        <w:t>Определить ключевые показатели рынка консалтинговых услуг в России:</w:t>
      </w:r>
    </w:p>
    <w:p w:rsidR="00A85F8B" w:rsidRDefault="00A85F8B" w:rsidP="00A85F8B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  <w:rPr>
          <w:rFonts w:eastAsia="Calibri" w:cs="Times New Roman"/>
        </w:rPr>
      </w:pPr>
      <w:r>
        <w:rPr>
          <w:rFonts w:eastAsia="Calibri" w:cs="Times New Roman"/>
        </w:rPr>
        <w:t>объем рынка;</w:t>
      </w:r>
    </w:p>
    <w:p w:rsidR="00A85F8B" w:rsidRDefault="00A85F8B" w:rsidP="003944F5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</w:pPr>
      <w:r>
        <w:rPr>
          <w:rFonts w:eastAsia="Calibri" w:cs="Times New Roman"/>
        </w:rPr>
        <w:t>темпы роста объема рынка;</w:t>
      </w:r>
    </w:p>
    <w:p w:rsidR="00D94C15" w:rsidRDefault="00D94C15" w:rsidP="003944F5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</w:pPr>
      <w:r>
        <w:t>компании – ключевые игроки на рынке.</w:t>
      </w:r>
    </w:p>
    <w:p w:rsidR="00D94C15" w:rsidRDefault="00D94C15" w:rsidP="00D94C15">
      <w:pPr>
        <w:spacing w:after="0" w:line="240" w:lineRule="auto"/>
        <w:ind w:left="1800" w:firstLine="0"/>
        <w:rPr>
          <w:rFonts w:eastAsia="Calibri" w:cs="Times New Roman"/>
        </w:rPr>
      </w:pPr>
    </w:p>
    <w:p w:rsidR="00A85F8B" w:rsidRDefault="00A85F8B" w:rsidP="00A85F8B">
      <w:pPr>
        <w:numPr>
          <w:ilvl w:val="0"/>
          <w:numId w:val="40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eastAsia="Calibri" w:cs="Times New Roman"/>
        </w:rPr>
      </w:pPr>
      <w:r>
        <w:rPr>
          <w:rFonts w:eastAsia="Calibri" w:cs="Times New Roman"/>
        </w:rPr>
        <w:t>Определить ключевые показатели сегментов рынка консалтинговых услуг:</w:t>
      </w:r>
    </w:p>
    <w:p w:rsidR="00A85F8B" w:rsidRDefault="00A85F8B" w:rsidP="00A85F8B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  <w:rPr>
          <w:rFonts w:eastAsia="Calibri" w:cs="Times New Roman"/>
        </w:rPr>
      </w:pPr>
      <w:r>
        <w:rPr>
          <w:rFonts w:eastAsia="Calibri" w:cs="Times New Roman"/>
        </w:rPr>
        <w:t>объем рынка;</w:t>
      </w:r>
    </w:p>
    <w:p w:rsidR="00A85F8B" w:rsidRDefault="00A85F8B" w:rsidP="00A85F8B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  <w:rPr>
          <w:rFonts w:eastAsia="Calibri" w:cs="Times New Roman"/>
        </w:rPr>
      </w:pPr>
      <w:r>
        <w:rPr>
          <w:rFonts w:eastAsia="Calibri" w:cs="Times New Roman"/>
        </w:rPr>
        <w:t>темпы роста;</w:t>
      </w:r>
    </w:p>
    <w:p w:rsidR="00A85F8B" w:rsidRDefault="00A85F8B" w:rsidP="00A85F8B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</w:pPr>
      <w:r>
        <w:rPr>
          <w:rFonts w:eastAsia="Calibri" w:cs="Times New Roman"/>
        </w:rPr>
        <w:t>тенденции и перспективы развития;</w:t>
      </w:r>
    </w:p>
    <w:p w:rsidR="00D94C15" w:rsidRDefault="00D94C15" w:rsidP="00A85F8B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</w:pPr>
      <w:r>
        <w:t>общая ситуация на рынке по каждому сегменту;</w:t>
      </w:r>
    </w:p>
    <w:p w:rsidR="00A85F8B" w:rsidRDefault="00D94C15" w:rsidP="00D94C15">
      <w:pPr>
        <w:numPr>
          <w:ilvl w:val="0"/>
          <w:numId w:val="41"/>
        </w:numPr>
        <w:tabs>
          <w:tab w:val="clear" w:pos="2323"/>
          <w:tab w:val="num" w:pos="1800"/>
        </w:tabs>
        <w:spacing w:after="0" w:line="240" w:lineRule="auto"/>
        <w:ind w:left="1800" w:hanging="360"/>
      </w:pPr>
      <w:r>
        <w:t xml:space="preserve">доли и выручка </w:t>
      </w:r>
      <w:r w:rsidR="002E7FB3">
        <w:t>крупнейших</w:t>
      </w:r>
      <w:r>
        <w:t xml:space="preserve"> компаний.</w:t>
      </w:r>
    </w:p>
    <w:p w:rsidR="00D94C15" w:rsidRDefault="00D94C15" w:rsidP="00D94C15">
      <w:pPr>
        <w:spacing w:after="0" w:line="240" w:lineRule="auto"/>
        <w:ind w:left="1800" w:firstLine="0"/>
        <w:rPr>
          <w:rFonts w:eastAsia="Calibri" w:cs="Times New Roman"/>
        </w:rPr>
      </w:pPr>
    </w:p>
    <w:p w:rsidR="00A85F8B" w:rsidRDefault="003400A4" w:rsidP="00A85F8B">
      <w:pPr>
        <w:numPr>
          <w:ilvl w:val="0"/>
          <w:numId w:val="40"/>
        </w:numPr>
        <w:tabs>
          <w:tab w:val="clear" w:pos="1440"/>
          <w:tab w:val="num" w:pos="720"/>
        </w:tabs>
        <w:spacing w:after="0" w:line="240" w:lineRule="auto"/>
        <w:ind w:left="360" w:firstLine="0"/>
        <w:rPr>
          <w:rFonts w:eastAsia="Calibri" w:cs="Times New Roman"/>
        </w:rPr>
      </w:pPr>
      <w:r>
        <w:t>Дать</w:t>
      </w:r>
      <w:r w:rsidR="00D94C15">
        <w:t xml:space="preserve"> прогнозы развития рынка консалтинговых услуг в России.</w:t>
      </w:r>
    </w:p>
    <w:p w:rsidR="00D94C15" w:rsidRDefault="00D94C15" w:rsidP="007C0FA2">
      <w:pPr>
        <w:pStyle w:val="II"/>
        <w:outlineLvl w:val="1"/>
      </w:pPr>
    </w:p>
    <w:p w:rsidR="00C35D01" w:rsidRDefault="00C35D01" w:rsidP="007C0FA2">
      <w:pPr>
        <w:pStyle w:val="II"/>
        <w:outlineLvl w:val="1"/>
      </w:pPr>
      <w:bookmarkStart w:id="32" w:name="_Toc371369029"/>
      <w:bookmarkStart w:id="33" w:name="_Toc371379982"/>
      <w:r w:rsidRPr="00F27339">
        <w:t>Объект</w:t>
      </w:r>
      <w:r>
        <w:t xml:space="preserve"> исследования</w:t>
      </w:r>
      <w:bookmarkEnd w:id="30"/>
      <w:bookmarkEnd w:id="31"/>
      <w:bookmarkEnd w:id="32"/>
      <w:bookmarkEnd w:id="33"/>
    </w:p>
    <w:p w:rsidR="00C35D01" w:rsidRDefault="00B821CD" w:rsidP="00C35D01">
      <w:r>
        <w:t xml:space="preserve">Рынок консалтинговых услуг </w:t>
      </w:r>
      <w:r w:rsidR="00C35D01">
        <w:t xml:space="preserve">в России. </w:t>
      </w:r>
    </w:p>
    <w:p w:rsidR="00C35D01" w:rsidRDefault="00C35D01" w:rsidP="007C0FA2">
      <w:pPr>
        <w:pStyle w:val="II"/>
        <w:outlineLvl w:val="1"/>
      </w:pPr>
      <w:bookmarkStart w:id="34" w:name="_Toc362273575"/>
      <w:bookmarkStart w:id="35" w:name="_Toc362359817"/>
      <w:bookmarkStart w:id="36" w:name="_Toc371369030"/>
      <w:bookmarkStart w:id="37" w:name="_Toc371379983"/>
      <w:r>
        <w:t>Метод сбора данных</w:t>
      </w:r>
      <w:bookmarkEnd w:id="34"/>
      <w:bookmarkEnd w:id="35"/>
      <w:bookmarkEnd w:id="36"/>
      <w:bookmarkEnd w:id="37"/>
    </w:p>
    <w:p w:rsidR="00C35D01" w:rsidRDefault="00C35D01" w:rsidP="00D03490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ResearchGroup.</w:t>
      </w:r>
    </w:p>
    <w:p w:rsidR="002E7FB3" w:rsidRDefault="002E7FB3" w:rsidP="00D03490"/>
    <w:p w:rsidR="009C7BF7" w:rsidRDefault="00C35D01" w:rsidP="007C0FA2">
      <w:pPr>
        <w:pStyle w:val="II"/>
        <w:outlineLvl w:val="1"/>
      </w:pPr>
      <w:bookmarkStart w:id="38" w:name="_Toc362273576"/>
      <w:bookmarkStart w:id="39" w:name="_Toc362359818"/>
      <w:bookmarkStart w:id="40" w:name="_Toc371369031"/>
      <w:bookmarkStart w:id="41" w:name="_Toc371379984"/>
      <w:r>
        <w:lastRenderedPageBreak/>
        <w:t>Метод анализа данных</w:t>
      </w:r>
      <w:bookmarkEnd w:id="38"/>
      <w:bookmarkEnd w:id="39"/>
      <w:bookmarkEnd w:id="40"/>
      <w:bookmarkEnd w:id="41"/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D94C15" w:rsidRDefault="00F27339" w:rsidP="009C7BF7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DISCOVERY ResearchGroup.</w:t>
      </w:r>
      <w:bookmarkStart w:id="42" w:name="_Toc362273577"/>
      <w:bookmarkStart w:id="43" w:name="_Toc362359819"/>
    </w:p>
    <w:p w:rsidR="009C7BF7" w:rsidRDefault="009C7BF7" w:rsidP="007C0FA2">
      <w:pPr>
        <w:pStyle w:val="II"/>
        <w:outlineLvl w:val="1"/>
      </w:pPr>
      <w:bookmarkStart w:id="44" w:name="_Toc371369032"/>
    </w:p>
    <w:p w:rsidR="00050807" w:rsidRPr="00050807" w:rsidRDefault="00F27339" w:rsidP="007C0FA2">
      <w:pPr>
        <w:pStyle w:val="II"/>
        <w:outlineLvl w:val="1"/>
      </w:pPr>
      <w:bookmarkStart w:id="45" w:name="_Toc371379985"/>
      <w:r w:rsidRPr="00F27339">
        <w:t>Объем и структура выборки</w:t>
      </w:r>
      <w:bookmarkEnd w:id="42"/>
      <w:bookmarkEnd w:id="43"/>
      <w:bookmarkEnd w:id="44"/>
      <w:bookmarkEnd w:id="45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6F4978" w:rsidRDefault="006F4978" w:rsidP="00AF1A24">
      <w:pPr>
        <w:spacing w:after="160" w:line="259" w:lineRule="auto"/>
        <w:ind w:firstLine="0"/>
      </w:pPr>
      <w:r>
        <w:lastRenderedPageBreak/>
        <w:br w:type="page"/>
      </w:r>
    </w:p>
    <w:p w:rsidR="00F47BF8" w:rsidRPr="00A147C6" w:rsidRDefault="00F47BF8" w:rsidP="00A147C6">
      <w:pPr>
        <w:pStyle w:val="I"/>
        <w:numPr>
          <w:ilvl w:val="0"/>
          <w:numId w:val="23"/>
        </w:numPr>
        <w:outlineLvl w:val="0"/>
      </w:pPr>
      <w:bookmarkStart w:id="46" w:name="_Toc371369033"/>
      <w:bookmarkStart w:id="47" w:name="_Toc371379986"/>
      <w:r>
        <w:lastRenderedPageBreak/>
        <w:t>Понятие и виды консалтинговых услуг</w:t>
      </w:r>
      <w:bookmarkEnd w:id="46"/>
      <w:bookmarkEnd w:id="47"/>
    </w:p>
    <w:p w:rsidR="0014336B" w:rsidRDefault="00F47BF8" w:rsidP="009E7C37">
      <w:pPr>
        <w:pStyle w:val="III"/>
      </w:pPr>
      <w:r>
        <w:t>П</w:t>
      </w:r>
      <w:r w:rsidR="00A147C6">
        <w:t>онятие</w:t>
      </w:r>
      <w:r w:rsidR="009E7C37">
        <w:t xml:space="preserve"> </w:t>
      </w:r>
      <w:r w:rsidR="00A147C6">
        <w:t>консалтинга</w:t>
      </w:r>
    </w:p>
    <w:p w:rsidR="00F47BF8" w:rsidRPr="00F47BF8" w:rsidRDefault="00EB04FB" w:rsidP="00F47BF8">
      <w:pPr>
        <w:ind w:firstLine="851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shd w:val="clear" w:color="auto" w:fill="FFFFFF"/>
        </w:rPr>
        <w:t>…</w:t>
      </w:r>
    </w:p>
    <w:p w:rsidR="00F47BF8" w:rsidRPr="00F47BF8" w:rsidRDefault="00EB04FB" w:rsidP="00F47BF8">
      <w:pPr>
        <w:ind w:firstLine="851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«К</w:t>
      </w:r>
      <w:r w:rsidR="00F47BF8" w:rsidRPr="00F47BF8">
        <w:rPr>
          <w:rFonts w:asciiTheme="minorHAnsi" w:hAnsiTheme="minorHAnsi"/>
          <w:szCs w:val="24"/>
        </w:rPr>
        <w:t>онсалтинг» (от англ. consulting) - услуги, консультации, осуществляемые специализированными консалтинговыми компаниями для производителей, продавцов, покупателей и включающее в себя решение широкого круга вопросов экономики, финансов, права, внешнеэкономических связей. Консалтинговые компании могут по заказу клиентов проводить исследование рынков товаров, ноу-хау, лицензий, а также разрабатывать маркетинговые программы, проводить оценку условий экспортно-импортных операций и т.д. Иными словами, консалтинг является одной из важнейших отраслей рынка в современном мире, а консалтинговые услуги –</w:t>
      </w:r>
      <w:r>
        <w:rPr>
          <w:rFonts w:asciiTheme="minorHAnsi" w:hAnsiTheme="minorHAnsi"/>
          <w:szCs w:val="24"/>
        </w:rPr>
        <w:t xml:space="preserve"> это  «независимые консультатив</w:t>
      </w:r>
      <w:r w:rsidR="00F47BF8" w:rsidRPr="00F47BF8">
        <w:rPr>
          <w:rFonts w:asciiTheme="minorHAnsi" w:hAnsiTheme="minorHAnsi"/>
          <w:szCs w:val="24"/>
        </w:rPr>
        <w:t>ные услуги, предлагаемые опытным персоналом в ответ  на запросы организации или отдельных клиентов». В данном определении можно выделить следующие важные моменты:</w:t>
      </w:r>
    </w:p>
    <w:p w:rsidR="00F47BF8" w:rsidRPr="00F47BF8" w:rsidRDefault="00F47BF8" w:rsidP="00F47BF8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rFonts w:asciiTheme="minorHAnsi" w:hAnsiTheme="minorHAnsi"/>
          <w:szCs w:val="24"/>
        </w:rPr>
      </w:pPr>
      <w:r w:rsidRPr="00F47BF8">
        <w:rPr>
          <w:rFonts w:asciiTheme="minorHAnsi" w:hAnsiTheme="minorHAnsi"/>
          <w:szCs w:val="24"/>
        </w:rPr>
        <w:t xml:space="preserve">основным содержанием консалтинговых </w:t>
      </w:r>
      <w:r w:rsidR="009E7C37">
        <w:rPr>
          <w:rFonts w:asciiTheme="minorHAnsi" w:hAnsiTheme="minorHAnsi"/>
          <w:szCs w:val="24"/>
        </w:rPr>
        <w:t xml:space="preserve">услуг </w:t>
      </w:r>
      <w:r w:rsidRPr="00F47BF8">
        <w:rPr>
          <w:rFonts w:asciiTheme="minorHAnsi" w:hAnsiTheme="minorHAnsi"/>
          <w:szCs w:val="24"/>
        </w:rPr>
        <w:t>являются кон</w:t>
      </w:r>
      <w:r w:rsidRPr="00F47BF8">
        <w:rPr>
          <w:rFonts w:asciiTheme="minorHAnsi" w:hAnsiTheme="minorHAnsi"/>
          <w:szCs w:val="24"/>
        </w:rPr>
        <w:softHyphen/>
        <w:t>сультации;</w:t>
      </w:r>
    </w:p>
    <w:p w:rsidR="00F47BF8" w:rsidRPr="00F47BF8" w:rsidRDefault="00F47BF8" w:rsidP="00F47BF8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rFonts w:asciiTheme="minorHAnsi" w:hAnsiTheme="minorHAnsi"/>
          <w:szCs w:val="24"/>
        </w:rPr>
      </w:pPr>
      <w:r w:rsidRPr="00F47BF8">
        <w:rPr>
          <w:rFonts w:asciiTheme="minorHAnsi" w:hAnsiTheme="minorHAnsi"/>
          <w:szCs w:val="24"/>
        </w:rPr>
        <w:t>консультации предоставляются независимыми от заказчиков лицами;</w:t>
      </w:r>
    </w:p>
    <w:p w:rsidR="00F47BF8" w:rsidRPr="00F47BF8" w:rsidRDefault="00F47BF8" w:rsidP="00F47BF8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rFonts w:asciiTheme="minorHAnsi" w:hAnsiTheme="minorHAnsi"/>
          <w:szCs w:val="24"/>
        </w:rPr>
      </w:pPr>
      <w:r w:rsidRPr="00F47BF8">
        <w:rPr>
          <w:rFonts w:asciiTheme="minorHAnsi" w:hAnsiTheme="minorHAnsi"/>
          <w:szCs w:val="24"/>
        </w:rPr>
        <w:t>поставщики услуг являются опытными, хотя и не обязательно квалифициро</w:t>
      </w:r>
      <w:r w:rsidRPr="00F47BF8">
        <w:rPr>
          <w:rFonts w:asciiTheme="minorHAnsi" w:hAnsiTheme="minorHAnsi"/>
          <w:szCs w:val="24"/>
        </w:rPr>
        <w:softHyphen/>
        <w:t>ванными, так как в целом ряде случаев более эффективны консультации менеджеров-практиков;</w:t>
      </w:r>
    </w:p>
    <w:p w:rsidR="00F47BF8" w:rsidRPr="00F47BF8" w:rsidRDefault="00F47BF8" w:rsidP="00F47BF8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rFonts w:asciiTheme="minorHAnsi" w:hAnsiTheme="minorHAnsi"/>
          <w:szCs w:val="24"/>
        </w:rPr>
      </w:pPr>
      <w:r w:rsidRPr="00F47BF8">
        <w:rPr>
          <w:rFonts w:asciiTheme="minorHAnsi" w:hAnsiTheme="minorHAnsi"/>
          <w:szCs w:val="24"/>
        </w:rPr>
        <w:t>потребителями услуг являются предприятия и отдельные клиенты, требующие различные услуги, которы</w:t>
      </w:r>
      <w:r w:rsidRPr="00F47BF8">
        <w:rPr>
          <w:rFonts w:asciiTheme="minorHAnsi" w:hAnsiTheme="minorHAnsi"/>
          <w:szCs w:val="24"/>
        </w:rPr>
        <w:softHyphen/>
        <w:t>ми надо управлять;</w:t>
      </w:r>
    </w:p>
    <w:p w:rsidR="00A147C6" w:rsidRDefault="00F47BF8" w:rsidP="00A147C6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rFonts w:asciiTheme="minorHAnsi" w:hAnsiTheme="minorHAnsi"/>
          <w:szCs w:val="24"/>
        </w:rPr>
      </w:pPr>
      <w:r w:rsidRPr="00F47BF8">
        <w:rPr>
          <w:rFonts w:asciiTheme="minorHAnsi" w:hAnsiTheme="minorHAnsi"/>
          <w:szCs w:val="24"/>
        </w:rPr>
        <w:t>услуга предоставляется в ответ на запрос заказчика.</w:t>
      </w:r>
    </w:p>
    <w:p w:rsidR="00964177" w:rsidRPr="00A147C6" w:rsidRDefault="00964177" w:rsidP="00964177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0"/>
        <w:rPr>
          <w:rFonts w:asciiTheme="minorHAnsi" w:hAnsiTheme="minorHAnsi"/>
          <w:szCs w:val="24"/>
        </w:rPr>
      </w:pPr>
    </w:p>
    <w:p w:rsidR="00392BC2" w:rsidRDefault="00392BC2" w:rsidP="009E7C37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9E7C37">
        <w:rPr>
          <w:lang w:val="ru-RU"/>
        </w:rPr>
        <w:t>2. История возникно</w:t>
      </w:r>
      <w:r w:rsidR="00A147C6" w:rsidRPr="009E7C37">
        <w:rPr>
          <w:lang w:val="ru-RU"/>
        </w:rPr>
        <w:t>вения рынка консалтинговых услуг</w:t>
      </w:r>
    </w:p>
    <w:p w:rsidR="00964177" w:rsidRPr="00EB04FB" w:rsidRDefault="00EB04FB" w:rsidP="00A147C6">
      <w:pPr>
        <w:spacing w:after="0"/>
        <w:contextualSpacing/>
        <w:rPr>
          <w:rFonts w:asciiTheme="minorHAnsi" w:eastAsia="Times New Roman" w:hAnsiTheme="minorHAnsi"/>
          <w:color w:val="000000"/>
          <w:szCs w:val="20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Cs w:val="20"/>
          <w:shd w:val="clear" w:color="auto" w:fill="FFFFFF"/>
        </w:rPr>
        <w:t>…</w:t>
      </w:r>
    </w:p>
    <w:p w:rsidR="00A147C6" w:rsidRDefault="00A147C6" w:rsidP="009E7C37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3. Виды консалтинговых услуг</w:t>
      </w:r>
    </w:p>
    <w:p w:rsidR="00392BC2" w:rsidRDefault="00392BC2" w:rsidP="00A147C6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 w:rsidRPr="00392BC2">
        <w:rPr>
          <w:rFonts w:asciiTheme="minorHAnsi" w:hAnsiTheme="minorHAnsi"/>
          <w:color w:val="000000"/>
          <w:szCs w:val="24"/>
        </w:rPr>
        <w:t>Консалтинговые услуги, существующие на современном рынке, довольно разнообразны, -</w:t>
      </w:r>
      <w:r w:rsidR="00A147C6">
        <w:rPr>
          <w:rFonts w:asciiTheme="minorHAnsi" w:hAnsiTheme="minorHAnsi"/>
          <w:color w:val="000000"/>
          <w:szCs w:val="24"/>
        </w:rPr>
        <w:t xml:space="preserve"> настолько, что сложно</w:t>
      </w:r>
      <w:r w:rsidRPr="00392BC2">
        <w:rPr>
          <w:rFonts w:asciiTheme="minorHAnsi" w:hAnsiTheme="minorHAnsi"/>
          <w:color w:val="000000"/>
          <w:szCs w:val="24"/>
        </w:rPr>
        <w:t xml:space="preserve"> предложить единую классификацию: зачастую один вид услуг целесообразно объединить с другим, или же отнести в раздел «специализированные услуги». По причине сложности разграничения и классификации </w:t>
      </w:r>
      <w:r w:rsidRPr="00392BC2">
        <w:rPr>
          <w:rFonts w:asciiTheme="minorHAnsi" w:hAnsiTheme="minorHAnsi"/>
          <w:color w:val="000000"/>
          <w:szCs w:val="24"/>
        </w:rPr>
        <w:lastRenderedPageBreak/>
        <w:t>видов консультационных услуг будут перечислены и кратко описаны основные, наиболее популярные</w:t>
      </w:r>
      <w:r w:rsidR="00A147C6">
        <w:rPr>
          <w:rFonts w:asciiTheme="minorHAnsi" w:hAnsiTheme="minorHAnsi"/>
          <w:color w:val="000000"/>
          <w:szCs w:val="24"/>
        </w:rPr>
        <w:t xml:space="preserve"> и востребованные на</w:t>
      </w:r>
      <w:r w:rsidRPr="00392BC2">
        <w:rPr>
          <w:rFonts w:asciiTheme="minorHAnsi" w:hAnsiTheme="minorHAnsi"/>
          <w:color w:val="000000"/>
          <w:szCs w:val="24"/>
        </w:rPr>
        <w:t xml:space="preserve"> рынке</w:t>
      </w:r>
      <w:r w:rsidR="00A147C6">
        <w:rPr>
          <w:rFonts w:asciiTheme="minorHAnsi" w:hAnsiTheme="minorHAnsi"/>
          <w:color w:val="000000"/>
          <w:szCs w:val="24"/>
        </w:rPr>
        <w:t xml:space="preserve"> сегодня</w:t>
      </w:r>
      <w:r w:rsidR="00EB04FB">
        <w:rPr>
          <w:rFonts w:asciiTheme="minorHAnsi" w:hAnsiTheme="minorHAnsi"/>
          <w:color w:val="000000"/>
          <w:szCs w:val="24"/>
        </w:rPr>
        <w:t>:</w:t>
      </w:r>
    </w:p>
    <w:p w:rsidR="00EB04FB" w:rsidRPr="00EB04FB" w:rsidRDefault="00EB04FB" w:rsidP="00A147C6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A147C6" w:rsidRPr="0075441B" w:rsidRDefault="00A147C6" w:rsidP="009E7C37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Общее управление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A147C6" w:rsidRPr="0075441B" w:rsidRDefault="00A147C6" w:rsidP="00E0538A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Административное управление</w:t>
      </w:r>
    </w:p>
    <w:p w:rsidR="004D63CF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75441B" w:rsidRDefault="00392BC2" w:rsidP="00E0538A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Финансовое управление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A147C6" w:rsidRPr="00E0538A" w:rsidRDefault="00392BC2" w:rsidP="00E0538A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Кадровый консалтинг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EB04FB" w:rsidRDefault="00392BC2" w:rsidP="00E0538A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EB04FB">
        <w:rPr>
          <w:lang w:val="ru-RU"/>
        </w:rPr>
        <w:t>Налоговый</w:t>
      </w:r>
      <w:r w:rsidR="0075441B" w:rsidRPr="00EB04FB">
        <w:rPr>
          <w:lang w:val="ru-RU"/>
        </w:rPr>
        <w:t xml:space="preserve"> </w:t>
      </w:r>
      <w:r w:rsidRPr="00EB04FB">
        <w:rPr>
          <w:lang w:val="ru-RU"/>
        </w:rPr>
        <w:t>консалтинг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75441B" w:rsidRDefault="00392BC2" w:rsidP="004D63CF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Юридический консалтинг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75441B" w:rsidRDefault="00392BC2" w:rsidP="003A4DC9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Оценочная деятельность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75441B" w:rsidRDefault="00392BC2" w:rsidP="003A4DC9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Маркетинговый консалтинг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75441B" w:rsidRDefault="00392BC2" w:rsidP="003A4DC9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Производственный консалтинг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392BC2" w:rsidRPr="0075441B" w:rsidRDefault="00392BC2" w:rsidP="003A4DC9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392BC2">
        <w:t>IT</w:t>
      </w:r>
      <w:r w:rsidRPr="0075441B">
        <w:rPr>
          <w:lang w:val="ru-RU"/>
        </w:rPr>
        <w:t>- консалтинг</w:t>
      </w:r>
    </w:p>
    <w:p w:rsidR="00EB04FB" w:rsidRP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DF1123" w:rsidRPr="0075441B" w:rsidRDefault="00DF1123" w:rsidP="003A4DC9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Консалтинг в сфере реструктуризации предприятий</w:t>
      </w:r>
    </w:p>
    <w:p w:rsidR="00EB04FB" w:rsidRDefault="00EB04FB" w:rsidP="00EB04FB">
      <w:bookmarkStart w:id="48" w:name="_Toc362273579"/>
      <w:bookmarkStart w:id="49" w:name="_Toc362359822"/>
      <w:bookmarkStart w:id="50" w:name="_Toc371369034"/>
      <w:bookmarkStart w:id="51" w:name="_Toc371379987"/>
      <w:r>
        <w:t>…</w:t>
      </w:r>
    </w:p>
    <w:p w:rsidR="00EB04FB" w:rsidRDefault="00EB04FB">
      <w:pPr>
        <w:spacing w:after="160" w:line="259" w:lineRule="auto"/>
        <w:ind w:firstLine="0"/>
        <w:jc w:val="left"/>
      </w:pPr>
      <w:r>
        <w:br w:type="page"/>
      </w:r>
    </w:p>
    <w:p w:rsidR="0024077B" w:rsidRDefault="0024077B" w:rsidP="00F47BF8">
      <w:pPr>
        <w:pStyle w:val="I"/>
        <w:numPr>
          <w:ilvl w:val="0"/>
          <w:numId w:val="25"/>
        </w:numPr>
        <w:outlineLvl w:val="0"/>
      </w:pPr>
      <w:r>
        <w:lastRenderedPageBreak/>
        <w:t xml:space="preserve">Мировой рынок </w:t>
      </w:r>
      <w:bookmarkEnd w:id="48"/>
      <w:bookmarkEnd w:id="49"/>
      <w:r w:rsidR="00BA2E56">
        <w:t>консалтинговых услуг</w:t>
      </w:r>
      <w:bookmarkEnd w:id="50"/>
      <w:bookmarkEnd w:id="51"/>
    </w:p>
    <w:p w:rsidR="005147F6" w:rsidRDefault="005147F6" w:rsidP="00EB04FB">
      <w:pPr>
        <w:ind w:firstLine="851"/>
        <w:contextualSpacing/>
        <w:rPr>
          <w:rStyle w:val="apple-converted-space"/>
          <w:rFonts w:asciiTheme="minorHAnsi" w:hAnsiTheme="minorHAnsi"/>
          <w:bCs/>
          <w:color w:val="000000"/>
          <w:shd w:val="clear" w:color="auto" w:fill="FFFFFF"/>
        </w:rPr>
      </w:pPr>
      <w:r w:rsidRPr="001E091B">
        <w:rPr>
          <w:rFonts w:asciiTheme="minorHAnsi" w:hAnsiTheme="minorHAnsi" w:cs="Arial"/>
          <w:bCs/>
          <w:color w:val="000000"/>
          <w:szCs w:val="18"/>
          <w:shd w:val="clear" w:color="auto" w:fill="FFFFFF"/>
        </w:rPr>
        <w:t>Мировой рынок</w:t>
      </w:r>
      <w:r w:rsidR="00EB04FB">
        <w:rPr>
          <w:rStyle w:val="apple-converted-space"/>
          <w:rFonts w:asciiTheme="minorHAnsi" w:hAnsiTheme="minorHAnsi" w:cs="Arial"/>
          <w:bCs/>
          <w:color w:val="000000"/>
          <w:szCs w:val="18"/>
          <w:shd w:val="clear" w:color="auto" w:fill="FFFFFF"/>
        </w:rPr>
        <w:t xml:space="preserve"> </w:t>
      </w:r>
      <w:r w:rsidRPr="001E091B">
        <w:rPr>
          <w:rFonts w:asciiTheme="minorHAnsi" w:hAnsiTheme="minorHAnsi"/>
          <w:bCs/>
          <w:color w:val="000000"/>
          <w:shd w:val="clear" w:color="auto" w:fill="FFFFFF"/>
        </w:rPr>
        <w:t>консалтинговых услуг</w:t>
      </w:r>
      <w:r w:rsidR="00EB04FB">
        <w:rPr>
          <w:rStyle w:val="apple-converted-space"/>
          <w:rFonts w:asciiTheme="minorHAnsi" w:hAnsiTheme="minorHAnsi"/>
          <w:bCs/>
          <w:color w:val="000000"/>
          <w:shd w:val="clear" w:color="auto" w:fill="FFFFFF"/>
        </w:rPr>
        <w:t xml:space="preserve"> </w:t>
      </w:r>
      <w:r w:rsidRPr="001E091B">
        <w:rPr>
          <w:rFonts w:asciiTheme="minorHAnsi" w:hAnsiTheme="minorHAnsi"/>
          <w:bCs/>
          <w:color w:val="000000"/>
          <w:shd w:val="clear" w:color="auto" w:fill="FFFFFF"/>
        </w:rPr>
        <w:t xml:space="preserve">без преувеличения можно назвать одним из самых динамично развивающихся. Потенциал роста рынка оценивается примерно в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Pr="001E091B">
        <w:rPr>
          <w:rFonts w:asciiTheme="minorHAnsi" w:hAnsiTheme="minorHAnsi"/>
          <w:bCs/>
          <w:color w:val="000000"/>
          <w:shd w:val="clear" w:color="auto" w:fill="FFFFFF"/>
        </w:rPr>
        <w:t>% в год.</w:t>
      </w:r>
    </w:p>
    <w:p w:rsidR="00EB04FB" w:rsidRDefault="00EB04FB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…</w:t>
      </w:r>
    </w:p>
    <w:p w:rsidR="00EB04FB" w:rsidRPr="00EB04FB" w:rsidRDefault="005147F6" w:rsidP="00EB04FB">
      <w:pPr>
        <w:ind w:firstLine="851"/>
        <w:contextualSpacing/>
        <w:rPr>
          <w:rFonts w:asciiTheme="minorHAnsi" w:hAnsiTheme="minorHAnsi"/>
        </w:rPr>
      </w:pPr>
      <w:r w:rsidRPr="001E091B">
        <w:rPr>
          <w:rFonts w:asciiTheme="minorHAnsi" w:hAnsiTheme="minorHAnsi"/>
        </w:rPr>
        <w:t xml:space="preserve">По данным </w:t>
      </w:r>
      <w:r w:rsidRPr="001E091B">
        <w:rPr>
          <w:rFonts w:asciiTheme="minorHAnsi" w:hAnsiTheme="minorHAnsi"/>
          <w:lang w:val="en-US"/>
        </w:rPr>
        <w:t>KennedyInformationResearchGroup</w:t>
      </w:r>
      <w:r w:rsidR="00964177" w:rsidRPr="001E091B">
        <w:rPr>
          <w:rFonts w:asciiTheme="minorHAnsi" w:hAnsiTheme="minorHAnsi"/>
        </w:rPr>
        <w:t>,</w:t>
      </w:r>
      <w:r w:rsidRPr="001E091B">
        <w:rPr>
          <w:rFonts w:asciiTheme="minorHAnsi" w:hAnsiTheme="minorHAnsi"/>
        </w:rPr>
        <w:t xml:space="preserve"> в 2005 году мировой рынок консалтинга достиг объема в почти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="00EB04FB" w:rsidRPr="00EB04FB">
        <w:rPr>
          <w:rFonts w:asciiTheme="minorHAnsi" w:hAnsiTheme="minorHAnsi"/>
          <w:color w:val="000000"/>
          <w:szCs w:val="24"/>
        </w:rPr>
        <w:t xml:space="preserve"> </w:t>
      </w:r>
      <w:r w:rsidRPr="001E091B">
        <w:rPr>
          <w:rFonts w:asciiTheme="minorHAnsi" w:hAnsiTheme="minorHAnsi"/>
        </w:rPr>
        <w:t xml:space="preserve">млрд. долл. В 2005 году рынок консалтинга </w:t>
      </w:r>
      <w:r w:rsidR="00EB04FB" w:rsidRPr="00EB04FB">
        <w:rPr>
          <w:rFonts w:asciiTheme="minorHAnsi" w:hAnsiTheme="minorHAnsi"/>
          <w:color w:val="000000"/>
          <w:szCs w:val="24"/>
        </w:rPr>
        <w:t>рос</w:t>
      </w:r>
      <w:r w:rsidRPr="001E091B">
        <w:rPr>
          <w:rFonts w:asciiTheme="minorHAnsi" w:hAnsiTheme="minorHAnsi"/>
        </w:rPr>
        <w:t xml:space="preserve"> в основном за счет секторов </w:t>
      </w:r>
      <w:r w:rsidR="00EB04FB">
        <w:rPr>
          <w:rFonts w:asciiTheme="minorHAnsi" w:hAnsiTheme="minorHAnsi"/>
          <w:color w:val="000000"/>
          <w:szCs w:val="24"/>
        </w:rPr>
        <w:t xml:space="preserve">… </w:t>
      </w:r>
      <w:r w:rsidRPr="001E091B">
        <w:rPr>
          <w:rFonts w:asciiTheme="minorHAnsi" w:hAnsiTheme="minorHAnsi"/>
        </w:rPr>
        <w:t xml:space="preserve">и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="00EB04FB">
        <w:rPr>
          <w:rFonts w:asciiTheme="minorHAnsi" w:hAnsiTheme="minorHAnsi"/>
        </w:rPr>
        <w:t>.</w:t>
      </w:r>
    </w:p>
    <w:p w:rsidR="005147F6" w:rsidRPr="00EB04FB" w:rsidRDefault="005147F6" w:rsidP="00EB04FB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 w:rsidRPr="001E091B">
        <w:rPr>
          <w:rFonts w:asciiTheme="minorHAnsi" w:hAnsiTheme="minorHAnsi"/>
        </w:rPr>
        <w:t xml:space="preserve">Аналитики </w:t>
      </w:r>
      <w:r w:rsidRPr="001E091B">
        <w:rPr>
          <w:rFonts w:asciiTheme="minorHAnsi" w:hAnsiTheme="minorHAnsi"/>
          <w:lang w:val="en-US"/>
        </w:rPr>
        <w:t>KennedyInformationResearchGroup</w:t>
      </w:r>
      <w:r w:rsidRPr="001E091B">
        <w:rPr>
          <w:rFonts w:asciiTheme="minorHAnsi" w:hAnsiTheme="minorHAnsi"/>
        </w:rPr>
        <w:t xml:space="preserve"> предполагали, что мировой рынок будет расти ежегодно на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Pr="001E091B">
        <w:rPr>
          <w:rFonts w:asciiTheme="minorHAnsi" w:hAnsiTheme="minorHAnsi"/>
        </w:rPr>
        <w:t>% и достигнет к 2009 год</w:t>
      </w:r>
      <w:r w:rsidR="00D604D3">
        <w:rPr>
          <w:rFonts w:asciiTheme="minorHAnsi" w:hAnsiTheme="minorHAnsi"/>
        </w:rPr>
        <w:t xml:space="preserve">у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="00D604D3">
        <w:rPr>
          <w:rFonts w:asciiTheme="minorHAnsi" w:hAnsiTheme="minorHAnsi"/>
        </w:rPr>
        <w:t xml:space="preserve"> млн. долл. Другие эксперты (Э. Холм</w:t>
      </w:r>
      <w:r w:rsidRPr="001E091B">
        <w:rPr>
          <w:rFonts w:asciiTheme="minorHAnsi" w:hAnsiTheme="minorHAnsi"/>
        </w:rPr>
        <w:t>)</w:t>
      </w:r>
      <w:r w:rsidR="00D604D3">
        <w:rPr>
          <w:rFonts w:asciiTheme="minorHAnsi" w:hAnsiTheme="minorHAnsi"/>
        </w:rPr>
        <w:t xml:space="preserve"> во втором десятилетии </w:t>
      </w:r>
      <w:r w:rsidR="00D604D3">
        <w:rPr>
          <w:rFonts w:asciiTheme="minorHAnsi" w:hAnsiTheme="minorHAnsi"/>
          <w:lang w:val="en-US"/>
        </w:rPr>
        <w:t>XXI</w:t>
      </w:r>
      <w:r w:rsidR="00D604D3" w:rsidRPr="00D604D3">
        <w:rPr>
          <w:rFonts w:asciiTheme="minorHAnsi" w:hAnsiTheme="minorHAnsi"/>
        </w:rPr>
        <w:t xml:space="preserve"> </w:t>
      </w:r>
      <w:r w:rsidR="00D604D3">
        <w:rPr>
          <w:rFonts w:asciiTheme="minorHAnsi" w:hAnsiTheme="minorHAnsi"/>
        </w:rPr>
        <w:t>века ожидали</w:t>
      </w:r>
      <w:r w:rsidR="00EB04FB">
        <w:rPr>
          <w:rFonts w:asciiTheme="minorHAnsi" w:hAnsiTheme="minorHAnsi"/>
        </w:rPr>
        <w:t xml:space="preserve"> рост потребления кон</w:t>
      </w:r>
      <w:r w:rsidRPr="001E091B">
        <w:rPr>
          <w:rFonts w:asciiTheme="minorHAnsi" w:hAnsiTheme="minorHAnsi"/>
        </w:rPr>
        <w:t xml:space="preserve">салтинговых услуг на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Pr="001E091B">
        <w:rPr>
          <w:rFonts w:asciiTheme="minorHAnsi" w:hAnsiTheme="minorHAnsi"/>
        </w:rPr>
        <w:t>-</w:t>
      </w:r>
      <w:r w:rsidR="00EB04FB">
        <w:rPr>
          <w:rFonts w:asciiTheme="minorHAnsi" w:hAnsiTheme="minorHAnsi"/>
          <w:color w:val="000000"/>
          <w:szCs w:val="24"/>
        </w:rPr>
        <w:t>…</w:t>
      </w:r>
      <w:r w:rsidRPr="001E091B">
        <w:rPr>
          <w:rFonts w:asciiTheme="minorHAnsi" w:hAnsiTheme="minorHAnsi"/>
        </w:rPr>
        <w:t xml:space="preserve">% в год, что существенно выше прогноза </w:t>
      </w:r>
      <w:r w:rsidRPr="001E091B">
        <w:rPr>
          <w:rFonts w:asciiTheme="minorHAnsi" w:hAnsiTheme="minorHAnsi"/>
          <w:lang w:val="en-US"/>
        </w:rPr>
        <w:t>KennedyInformation</w:t>
      </w:r>
      <w:r w:rsidRPr="001E091B">
        <w:rPr>
          <w:rFonts w:asciiTheme="minorHAnsi" w:hAnsiTheme="minorHAnsi"/>
        </w:rPr>
        <w:t>. Прогнозы оказались приблизительно верны, так как сегодня оборот мирового консалтингового рынка оцени</w:t>
      </w:r>
      <w:r w:rsidR="00964177" w:rsidRPr="001E091B">
        <w:rPr>
          <w:rFonts w:asciiTheme="minorHAnsi" w:hAnsiTheme="minorHAnsi"/>
        </w:rPr>
        <w:t>вается примерно в $</w:t>
      </w:r>
      <w:r w:rsidR="00EB04FB">
        <w:rPr>
          <w:rFonts w:asciiTheme="minorHAnsi" w:hAnsiTheme="minorHAnsi"/>
          <w:color w:val="000000"/>
          <w:szCs w:val="24"/>
        </w:rPr>
        <w:t>…</w:t>
      </w:r>
      <w:r w:rsidR="00964177" w:rsidRPr="001E091B">
        <w:rPr>
          <w:rFonts w:asciiTheme="minorHAnsi" w:hAnsiTheme="minorHAnsi"/>
        </w:rPr>
        <w:t xml:space="preserve"> млрд.</w:t>
      </w:r>
      <w:r w:rsidRPr="001E091B">
        <w:rPr>
          <w:rFonts w:asciiTheme="minorHAnsi" w:hAnsiTheme="minorHAnsi"/>
        </w:rPr>
        <w:t xml:space="preserve">, что почти на </w:t>
      </w:r>
      <w:r w:rsidR="00EB04FB">
        <w:rPr>
          <w:rFonts w:asciiTheme="minorHAnsi" w:hAnsiTheme="minorHAnsi"/>
          <w:color w:val="000000"/>
          <w:szCs w:val="24"/>
        </w:rPr>
        <w:t>…</w:t>
      </w:r>
      <w:r w:rsidRPr="001E091B">
        <w:rPr>
          <w:rFonts w:asciiTheme="minorHAnsi" w:hAnsiTheme="minorHAnsi"/>
        </w:rPr>
        <w:t>% больше, чем в докризисном 2005 г. Таким образом, объем мирового рынка консалтинговых услуг растет высокими темпами, что можно проследить на примере управленческого кон</w:t>
      </w:r>
      <w:r w:rsidR="00D604D3">
        <w:rPr>
          <w:rFonts w:asciiTheme="minorHAnsi" w:hAnsiTheme="minorHAnsi"/>
        </w:rPr>
        <w:t>салтинга как достаточно крупного и прогрессивного сегмента рынка</w:t>
      </w:r>
      <w:r w:rsidRPr="001E091B">
        <w:rPr>
          <w:rFonts w:asciiTheme="minorHAnsi" w:hAnsiTheme="minorHAnsi"/>
        </w:rPr>
        <w:t>.</w:t>
      </w:r>
    </w:p>
    <w:p w:rsidR="005147F6" w:rsidRPr="00DE0263" w:rsidRDefault="005147F6" w:rsidP="001E091B">
      <w:pPr>
        <w:pStyle w:val="af4"/>
      </w:pPr>
      <w:bookmarkStart w:id="52" w:name="_Toc371600338"/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 wp14:anchorId="5DA69B63" wp14:editId="5BA3FE5A">
            <wp:simplePos x="0" y="0"/>
            <wp:positionH relativeFrom="page">
              <wp:posOffset>1012825</wp:posOffset>
            </wp:positionH>
            <wp:positionV relativeFrom="paragraph">
              <wp:posOffset>515620</wp:posOffset>
            </wp:positionV>
            <wp:extent cx="5895975" cy="320040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t>Диаграмма 1</w:t>
      </w:r>
      <w:r>
        <w:rPr>
          <w:noProof/>
        </w:rPr>
        <w:t>. Объем мирового рынка консалтинговых услуг в сфере управления в 1998-2012 гг., млрд. долл.</w:t>
      </w:r>
      <w:r w:rsidR="00964177">
        <w:rPr>
          <w:noProof/>
        </w:rPr>
        <w:t>и %</w:t>
      </w:r>
      <w:bookmarkEnd w:id="52"/>
      <w:r w:rsidR="00DE0263">
        <w:rPr>
          <w:noProof/>
        </w:rPr>
        <w:t>.</w:t>
      </w:r>
    </w:p>
    <w:p w:rsidR="00EB04FB" w:rsidRDefault="00D604D3" w:rsidP="00964177">
      <w:pPr>
        <w:pStyle w:val="aff"/>
        <w:shd w:val="clear" w:color="auto" w:fill="FFFFFF"/>
        <w:spacing w:line="360" w:lineRule="auto"/>
        <w:ind w:firstLine="85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2008-2012 гг.</w:t>
      </w:r>
      <w:r w:rsidR="00964177" w:rsidRPr="001E091B">
        <w:rPr>
          <w:rFonts w:asciiTheme="minorHAnsi" w:hAnsiTheme="minorHAnsi"/>
        </w:rPr>
        <w:t xml:space="preserve"> характеризуются приростом мирового консалтингового рынка в </w:t>
      </w:r>
      <w:r w:rsidR="00EB04FB">
        <w:rPr>
          <w:rFonts w:asciiTheme="minorHAnsi" w:hAnsiTheme="minorHAnsi"/>
        </w:rPr>
        <w:t>…</w:t>
      </w:r>
      <w:r w:rsidR="00964177" w:rsidRPr="001E091B">
        <w:rPr>
          <w:rFonts w:asciiTheme="minorHAnsi" w:hAnsiTheme="minorHAnsi"/>
        </w:rPr>
        <w:t>-</w:t>
      </w:r>
      <w:r w:rsidR="00EB04FB">
        <w:rPr>
          <w:rFonts w:asciiTheme="minorHAnsi" w:hAnsiTheme="minorHAnsi"/>
        </w:rPr>
        <w:t>…</w:t>
      </w:r>
      <w:r w:rsidR="00964177" w:rsidRPr="001E091B">
        <w:rPr>
          <w:rFonts w:asciiTheme="minorHAnsi" w:hAnsiTheme="minorHAnsi"/>
        </w:rPr>
        <w:t xml:space="preserve">%, кроме посткризисного 2009 г., когда объем мирового рынка уменьшился на </w:t>
      </w:r>
      <w:r w:rsidR="00EB04FB">
        <w:rPr>
          <w:rFonts w:asciiTheme="minorHAnsi" w:hAnsiTheme="minorHAnsi"/>
        </w:rPr>
        <w:t>…</w:t>
      </w:r>
      <w:r w:rsidR="00964177" w:rsidRPr="001E091B">
        <w:rPr>
          <w:rFonts w:asciiTheme="minorHAnsi" w:hAnsiTheme="minorHAnsi"/>
        </w:rPr>
        <w:t>%.</w:t>
      </w:r>
    </w:p>
    <w:p w:rsidR="005147F6" w:rsidRPr="001E091B" w:rsidRDefault="00EB04FB" w:rsidP="00964177">
      <w:pPr>
        <w:pStyle w:val="aff"/>
        <w:shd w:val="clear" w:color="auto" w:fill="FFFFFF"/>
        <w:spacing w:line="360" w:lineRule="auto"/>
        <w:ind w:firstLine="85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  <w:r w:rsidR="0053049F" w:rsidRPr="001E091B">
        <w:rPr>
          <w:rFonts w:asciiTheme="minorHAnsi" w:hAnsiTheme="minorHAnsi"/>
        </w:rPr>
        <w:t>:</w:t>
      </w:r>
    </w:p>
    <w:p w:rsidR="005147F6" w:rsidRDefault="005147F6" w:rsidP="00333138">
      <w:pPr>
        <w:pStyle w:val="afd"/>
      </w:pPr>
      <w:bookmarkStart w:id="53" w:name="_Toc371600308"/>
      <w:r w:rsidRPr="00392CC8">
        <w:t xml:space="preserve">Таблица </w:t>
      </w:r>
      <w:r w:rsidR="00BA4D84">
        <w:fldChar w:fldCharType="begin"/>
      </w:r>
      <w:r w:rsidR="00BA4D84">
        <w:instrText xml:space="preserve"> SEQ Таблица \* ARABIC </w:instrText>
      </w:r>
      <w:r w:rsidR="00BA4D84">
        <w:fldChar w:fldCharType="separate"/>
      </w:r>
      <w:r>
        <w:rPr>
          <w:noProof/>
        </w:rPr>
        <w:t>1</w:t>
      </w:r>
      <w:r w:rsidR="00BA4D84">
        <w:rPr>
          <w:noProof/>
        </w:rPr>
        <w:fldChar w:fldCharType="end"/>
      </w:r>
      <w:r w:rsidRPr="00392CC8">
        <w:t xml:space="preserve">. </w:t>
      </w:r>
      <w:r>
        <w:t>Объем рынка консалтинговых услуг в сфере управления по странам и регионам, млрд. долл.</w:t>
      </w:r>
      <w:bookmarkEnd w:id="53"/>
    </w:p>
    <w:tbl>
      <w:tblPr>
        <w:tblW w:w="5000" w:type="pct"/>
        <w:jc w:val="righ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072"/>
        <w:gridCol w:w="1415"/>
        <w:gridCol w:w="1558"/>
        <w:gridCol w:w="1526"/>
      </w:tblGrid>
      <w:tr w:rsidR="005147F6" w:rsidRPr="00310A0A" w:rsidTr="00EB04FB">
        <w:trPr>
          <w:trHeight w:val="20"/>
          <w:jc w:val="right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5147F6" w:rsidRPr="00310A0A" w:rsidRDefault="005147F6" w:rsidP="00EB04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10A0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Страна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5147F6" w:rsidRPr="00310A0A" w:rsidRDefault="005147F6" w:rsidP="00EB04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10A0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2009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5147F6" w:rsidRPr="00310A0A" w:rsidRDefault="005147F6" w:rsidP="00EB04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10A0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5147F6" w:rsidRPr="00310A0A" w:rsidRDefault="005147F6" w:rsidP="00EB04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10A0A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2011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Западная Европа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Северный регион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  <w:tr w:rsidR="00EB04FB" w:rsidRPr="00310A0A" w:rsidTr="00EB04FB">
        <w:trPr>
          <w:trHeight w:val="20"/>
          <w:jc w:val="right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FB" w:rsidRPr="00310A0A" w:rsidRDefault="00EB04FB" w:rsidP="00EB04F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10A0A">
              <w:rPr>
                <w:b/>
                <w:bCs/>
                <w:color w:val="000000"/>
                <w:sz w:val="20"/>
                <w:szCs w:val="20"/>
              </w:rPr>
              <w:t>Центральная и Восточная Европа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FB" w:rsidRDefault="00EB04FB" w:rsidP="00EB04FB">
            <w:pPr>
              <w:spacing w:line="240" w:lineRule="auto"/>
              <w:ind w:firstLine="0"/>
              <w:jc w:val="center"/>
            </w:pPr>
            <w:r w:rsidRPr="00427171">
              <w:t>…</w:t>
            </w:r>
          </w:p>
        </w:tc>
      </w:tr>
    </w:tbl>
    <w:p w:rsidR="005147F6" w:rsidRPr="00863498" w:rsidRDefault="005147F6" w:rsidP="005147F6">
      <w:pPr>
        <w:pStyle w:val="aff"/>
        <w:shd w:val="clear" w:color="auto" w:fill="FFFFFF"/>
        <w:contextualSpacing/>
        <w:jc w:val="both"/>
        <w:rPr>
          <w:sz w:val="18"/>
          <w:szCs w:val="18"/>
        </w:rPr>
      </w:pPr>
      <w:r w:rsidRPr="00863498">
        <w:rPr>
          <w:sz w:val="18"/>
          <w:szCs w:val="18"/>
        </w:rPr>
        <w:t>*Западная Европа: Австрия, Бельгия, Ирландия, Италия, Нидерланды, Португалия, Швеция</w:t>
      </w:r>
    </w:p>
    <w:p w:rsidR="005147F6" w:rsidRPr="00863498" w:rsidRDefault="005147F6" w:rsidP="005147F6">
      <w:pPr>
        <w:pStyle w:val="aff"/>
        <w:shd w:val="clear" w:color="auto" w:fill="FFFFFF"/>
        <w:contextualSpacing/>
        <w:jc w:val="both"/>
        <w:rPr>
          <w:sz w:val="18"/>
          <w:szCs w:val="18"/>
        </w:rPr>
      </w:pPr>
      <w:r w:rsidRPr="00863498">
        <w:rPr>
          <w:sz w:val="18"/>
          <w:szCs w:val="18"/>
        </w:rPr>
        <w:t>*Центральная и Восточная Европа: Босния и Герцеговина, Болгария, Хорватия, Кипр, Чехия, Греция, Венгрия, Польша, Румыния, Словения, Латвия, Македония</w:t>
      </w:r>
    </w:p>
    <w:p w:rsidR="005147F6" w:rsidRPr="00863498" w:rsidRDefault="005147F6" w:rsidP="005147F6">
      <w:pPr>
        <w:pStyle w:val="aff"/>
        <w:shd w:val="clear" w:color="auto" w:fill="FFFFFF"/>
        <w:contextualSpacing/>
        <w:jc w:val="both"/>
        <w:rPr>
          <w:sz w:val="18"/>
          <w:szCs w:val="18"/>
        </w:rPr>
      </w:pPr>
      <w:r w:rsidRPr="00863498">
        <w:rPr>
          <w:sz w:val="18"/>
          <w:szCs w:val="18"/>
        </w:rPr>
        <w:t>*Северный регион: Финляндия, Норвегия, Швеция, Дания.</w:t>
      </w:r>
    </w:p>
    <w:p w:rsidR="005147F6" w:rsidRDefault="005147F6" w:rsidP="005147F6">
      <w:pPr>
        <w:pStyle w:val="aff"/>
        <w:shd w:val="clear" w:color="auto" w:fill="FFFFFF"/>
        <w:spacing w:line="360" w:lineRule="auto"/>
        <w:contextualSpacing/>
        <w:jc w:val="both"/>
        <w:rPr>
          <w:sz w:val="20"/>
          <w:szCs w:val="20"/>
        </w:rPr>
      </w:pPr>
    </w:p>
    <w:p w:rsidR="001E091B" w:rsidRPr="002403C2" w:rsidRDefault="00EB04FB" w:rsidP="001E091B">
      <w:pPr>
        <w:pStyle w:val="aff"/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2403C2">
        <w:rPr>
          <w:rFonts w:asciiTheme="minorHAnsi" w:hAnsiTheme="minorHAnsi"/>
        </w:rPr>
        <w:t>…</w:t>
      </w:r>
    </w:p>
    <w:p w:rsidR="005147F6" w:rsidRDefault="005147F6" w:rsidP="001412C5">
      <w:pPr>
        <w:pStyle w:val="af4"/>
        <w:rPr>
          <w:noProof/>
        </w:rPr>
      </w:pPr>
      <w:bookmarkStart w:id="54" w:name="_Toc371600339"/>
      <w:r>
        <w:t>Диаграмма 2</w:t>
      </w:r>
      <w:r w:rsidRPr="003A7EB7">
        <w:rPr>
          <w:noProof/>
        </w:rPr>
        <w:t xml:space="preserve">. </w:t>
      </w:r>
      <w:r>
        <w:rPr>
          <w:noProof/>
        </w:rPr>
        <w:t>Доли стран Европы на мировом рынке консалтинговых услуг в сфере управления, %</w:t>
      </w:r>
      <w:r w:rsidR="0053049F"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 wp14:anchorId="42E3C7DA" wp14:editId="3776DCEC">
            <wp:simplePos x="0" y="0"/>
            <wp:positionH relativeFrom="page">
              <wp:posOffset>1000125</wp:posOffset>
            </wp:positionH>
            <wp:positionV relativeFrom="paragraph">
              <wp:posOffset>225425</wp:posOffset>
            </wp:positionV>
            <wp:extent cx="5686425" cy="3648075"/>
            <wp:effectExtent l="0" t="0" r="0" b="0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bookmarkEnd w:id="54"/>
      <w:r w:rsidR="00DE0263">
        <w:rPr>
          <w:noProof/>
        </w:rPr>
        <w:t>.</w:t>
      </w:r>
    </w:p>
    <w:p w:rsidR="00043129" w:rsidRDefault="00043129" w:rsidP="00D604D3">
      <w:pPr>
        <w:pStyle w:val="aff"/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</w:t>
      </w:r>
    </w:p>
    <w:p w:rsidR="001E091B" w:rsidRDefault="00684AA7" w:rsidP="00D604D3">
      <w:pPr>
        <w:pStyle w:val="aff"/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</w:rPr>
      </w:pPr>
      <w:r w:rsidRPr="001E091B">
        <w:rPr>
          <w:rFonts w:asciiTheme="minorHAnsi" w:hAnsiTheme="minorHAnsi" w:cs="Arial"/>
        </w:rPr>
        <w:t xml:space="preserve">Согласно оценкам, «большая четверка» </w:t>
      </w:r>
      <w:r w:rsidRPr="001E091B">
        <w:rPr>
          <w:rFonts w:asciiTheme="minorHAnsi" w:hAnsiTheme="minorHAnsi"/>
          <w:shd w:val="clear" w:color="auto" w:fill="FFFFFF"/>
        </w:rPr>
        <w:t xml:space="preserve">4-ка контролируют </w:t>
      </w:r>
      <w:r w:rsidR="00043129">
        <w:rPr>
          <w:rFonts w:asciiTheme="minorHAnsi" w:hAnsiTheme="minorHAnsi"/>
        </w:rPr>
        <w:t>…</w:t>
      </w:r>
      <w:r w:rsidRPr="001E091B">
        <w:rPr>
          <w:rFonts w:asciiTheme="minorHAnsi" w:hAnsiTheme="minorHAnsi"/>
          <w:shd w:val="clear" w:color="auto" w:fill="FFFFFF"/>
        </w:rPr>
        <w:t>%</w:t>
      </w:r>
      <w:r w:rsidR="00043129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Pr="001E091B">
        <w:rPr>
          <w:rFonts w:asciiTheme="minorHAnsi" w:hAnsiTheme="minorHAnsi"/>
          <w:bCs/>
          <w:shd w:val="clear" w:color="auto" w:fill="FFFFFF"/>
        </w:rPr>
        <w:t>мирового рынка консалтинга</w:t>
      </w:r>
      <w:r w:rsidRPr="001E091B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1E091B">
        <w:rPr>
          <w:rFonts w:asciiTheme="minorHAnsi" w:hAnsiTheme="minorHAnsi"/>
          <w:shd w:val="clear" w:color="auto" w:fill="FFFFFF"/>
        </w:rPr>
        <w:t>и аудита.</w:t>
      </w:r>
      <w:r w:rsidR="00BE1C21">
        <w:rPr>
          <w:rFonts w:asciiTheme="minorHAnsi" w:hAnsiTheme="minorHAnsi"/>
          <w:shd w:val="clear" w:color="auto" w:fill="FFFFFF"/>
        </w:rPr>
        <w:t xml:space="preserve"> </w:t>
      </w:r>
      <w:r w:rsidR="005147F6" w:rsidRPr="001E091B">
        <w:rPr>
          <w:rFonts w:asciiTheme="minorHAnsi" w:hAnsiTheme="minorHAnsi"/>
          <w:color w:val="000000"/>
        </w:rPr>
        <w:t>Ниже приведена численность персонала «большой четвёрки» и выручка согласно последним доступным данным:</w:t>
      </w:r>
    </w:p>
    <w:p w:rsidR="001412C5" w:rsidRPr="00D604D3" w:rsidRDefault="001412C5" w:rsidP="00D604D3">
      <w:pPr>
        <w:pStyle w:val="aff"/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/>
        </w:rPr>
      </w:pPr>
    </w:p>
    <w:p w:rsidR="001E091B" w:rsidRPr="00392CC8" w:rsidRDefault="005147F6" w:rsidP="00333138">
      <w:pPr>
        <w:pStyle w:val="afd"/>
      </w:pPr>
      <w:bookmarkStart w:id="55" w:name="_Toc371600309"/>
      <w:r w:rsidRPr="00392CC8">
        <w:t xml:space="preserve">Таблица </w:t>
      </w:r>
      <w:r>
        <w:t>2. Численность персонала и выручка «Большой четверки»</w:t>
      </w:r>
      <w:r w:rsidRPr="00392CC8">
        <w:t xml:space="preserve"> в 2012 г.</w:t>
      </w:r>
      <w:bookmarkEnd w:id="55"/>
    </w:p>
    <w:tbl>
      <w:tblPr>
        <w:tblStyle w:val="-451"/>
        <w:tblW w:w="5000" w:type="pct"/>
        <w:tblLook w:val="04A0" w:firstRow="1" w:lastRow="0" w:firstColumn="1" w:lastColumn="0" w:noHBand="0" w:noVBand="1"/>
      </w:tblPr>
      <w:tblGrid>
        <w:gridCol w:w="4147"/>
        <w:gridCol w:w="2484"/>
        <w:gridCol w:w="2940"/>
      </w:tblGrid>
      <w:tr w:rsidR="00AC77AA" w:rsidRPr="00392CC8" w:rsidTr="0004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AC77AA" w:rsidRPr="00392CC8" w:rsidRDefault="00AC77AA" w:rsidP="001E091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/>
                <w:b w:val="0"/>
                <w:bCs w:val="0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AC77AA" w:rsidRPr="00392CC8" w:rsidRDefault="00AC77AA" w:rsidP="001E091B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 w:val="0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AC77AA" w:rsidRPr="00392CC8" w:rsidRDefault="00AC77AA" w:rsidP="001E091B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 w:val="0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  <w:t>Число сотрудников</w:t>
            </w:r>
          </w:p>
        </w:tc>
      </w:tr>
      <w:tr w:rsidR="00043129" w:rsidRPr="00392CC8" w:rsidTr="0004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29" w:rsidRPr="00AC77AA" w:rsidRDefault="00043129" w:rsidP="00043129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</w:pPr>
            <w:r w:rsidRPr="00AC77AA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PricewaterhouseCoopers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  <w:r w:rsidRPr="00043129">
              <w:rPr>
                <w:rFonts w:asciiTheme="minorHAnsi" w:hAnsiTheme="minorHAnsi"/>
              </w:rPr>
              <w:t>млрд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29F">
              <w:rPr>
                <w:rFonts w:asciiTheme="minorHAnsi" w:hAnsiTheme="minorHAnsi"/>
              </w:rPr>
              <w:t>…</w:t>
            </w:r>
          </w:p>
        </w:tc>
      </w:tr>
      <w:tr w:rsidR="00043129" w:rsidRPr="00392CC8" w:rsidTr="0004312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29" w:rsidRPr="00AC77AA" w:rsidRDefault="00BA4D84" w:rsidP="00043129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7" w:tooltip="Deloitte Touche Tohmatsu" w:history="1">
              <w:r w:rsidR="00043129" w:rsidRPr="00AC77AA">
                <w:rPr>
                  <w:rStyle w:val="af0"/>
                  <w:rFonts w:asciiTheme="minorHAnsi" w:hAnsiTheme="minorHAnsi" w:cs="Arial"/>
                  <w:color w:val="auto"/>
                  <w:sz w:val="20"/>
                  <w:szCs w:val="20"/>
                  <w:u w:val="none"/>
                </w:rPr>
                <w:t>DeloitteToucheTohmatsu</w:t>
              </w:r>
            </w:hyperlink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  <w:r w:rsidRPr="00043129">
              <w:rPr>
                <w:rFonts w:asciiTheme="minorHAnsi" w:hAnsiTheme="minorHAnsi"/>
              </w:rPr>
              <w:t xml:space="preserve"> млрд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29F">
              <w:rPr>
                <w:rFonts w:asciiTheme="minorHAnsi" w:hAnsiTheme="minorHAnsi"/>
              </w:rPr>
              <w:t>…</w:t>
            </w:r>
          </w:p>
        </w:tc>
      </w:tr>
      <w:tr w:rsidR="00043129" w:rsidRPr="00392CC8" w:rsidTr="0004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29" w:rsidRPr="00AC77AA" w:rsidRDefault="00BA4D84" w:rsidP="00043129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8" w:tooltip="Ernst &amp; Young" w:history="1">
              <w:r w:rsidR="00043129" w:rsidRPr="00AC77AA">
                <w:rPr>
                  <w:rStyle w:val="af0"/>
                  <w:rFonts w:cs="Arial"/>
                  <w:color w:val="auto"/>
                  <w:sz w:val="20"/>
                  <w:szCs w:val="20"/>
                  <w:u w:val="none"/>
                </w:rPr>
                <w:t>Ernst&amp;Young</w:t>
              </w:r>
            </w:hyperlink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  <w:r w:rsidRPr="00043129">
              <w:rPr>
                <w:rFonts w:asciiTheme="minorHAnsi" w:hAnsiTheme="minorHAnsi"/>
              </w:rPr>
              <w:t xml:space="preserve"> млрд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29F">
              <w:rPr>
                <w:rFonts w:asciiTheme="minorHAnsi" w:hAnsiTheme="minorHAnsi"/>
              </w:rPr>
              <w:t>…</w:t>
            </w:r>
          </w:p>
        </w:tc>
      </w:tr>
      <w:tr w:rsidR="00043129" w:rsidRPr="00392CC8" w:rsidTr="0004312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29" w:rsidRPr="00AC77AA" w:rsidRDefault="00BA4D84" w:rsidP="00043129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hyperlink r:id="rId19" w:tooltip="KPMG" w:history="1">
              <w:r w:rsidR="00043129" w:rsidRPr="00AC77AA">
                <w:rPr>
                  <w:rStyle w:val="af0"/>
                  <w:rFonts w:cs="Arial"/>
                  <w:color w:val="auto"/>
                  <w:sz w:val="20"/>
                  <w:szCs w:val="20"/>
                  <w:u w:val="none"/>
                </w:rPr>
                <w:t>KPMG</w:t>
              </w:r>
            </w:hyperlink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  <w:r w:rsidRPr="00043129">
              <w:rPr>
                <w:rFonts w:asciiTheme="minorHAnsi" w:hAnsiTheme="minorHAnsi"/>
              </w:rPr>
              <w:t>млрд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29" w:rsidRPr="00043129" w:rsidRDefault="00043129" w:rsidP="0004312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F429F">
              <w:rPr>
                <w:rFonts w:asciiTheme="minorHAnsi" w:hAnsiTheme="minorHAnsi"/>
              </w:rPr>
              <w:t>…</w:t>
            </w:r>
          </w:p>
        </w:tc>
      </w:tr>
    </w:tbl>
    <w:p w:rsidR="005147F6" w:rsidRPr="001E091B" w:rsidRDefault="005147F6" w:rsidP="005147F6">
      <w:pPr>
        <w:pStyle w:val="aff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</w:rPr>
      </w:pPr>
    </w:p>
    <w:p w:rsidR="00A60BB4" w:rsidRPr="00043129" w:rsidRDefault="005147F6" w:rsidP="00BE1C21">
      <w:pPr>
        <w:pStyle w:val="aff"/>
        <w:shd w:val="clear" w:color="auto" w:fill="FFFFFF"/>
        <w:spacing w:line="360" w:lineRule="auto"/>
        <w:ind w:firstLine="709"/>
        <w:contextualSpacing/>
        <w:jc w:val="both"/>
        <w:rPr>
          <w:rFonts w:asciiTheme="minorHAnsi" w:hAnsiTheme="minorHAnsi"/>
        </w:rPr>
      </w:pPr>
      <w:r w:rsidRPr="001E091B">
        <w:rPr>
          <w:rFonts w:asciiTheme="minorHAnsi" w:hAnsiTheme="minorHAnsi"/>
        </w:rPr>
        <w:t>Среди</w:t>
      </w:r>
      <w:r w:rsidR="001E6077" w:rsidRPr="00043129">
        <w:rPr>
          <w:rFonts w:asciiTheme="minorHAnsi" w:hAnsiTheme="minorHAnsi"/>
        </w:rPr>
        <w:t xml:space="preserve"> </w:t>
      </w:r>
      <w:r w:rsidRPr="001E091B">
        <w:rPr>
          <w:rFonts w:asciiTheme="minorHAnsi" w:hAnsiTheme="minorHAnsi"/>
        </w:rPr>
        <w:t>крупнейших</w:t>
      </w:r>
      <w:r w:rsidR="001E6077" w:rsidRPr="00043129">
        <w:rPr>
          <w:rFonts w:asciiTheme="minorHAnsi" w:hAnsiTheme="minorHAnsi"/>
        </w:rPr>
        <w:t xml:space="preserve"> </w:t>
      </w:r>
      <w:r w:rsidRPr="001E091B">
        <w:rPr>
          <w:rFonts w:asciiTheme="minorHAnsi" w:hAnsiTheme="minorHAnsi"/>
        </w:rPr>
        <w:t>консалтинговых</w:t>
      </w:r>
      <w:r w:rsidR="001E6077" w:rsidRPr="00043129">
        <w:rPr>
          <w:rFonts w:asciiTheme="minorHAnsi" w:hAnsiTheme="minorHAnsi"/>
        </w:rPr>
        <w:t xml:space="preserve"> </w:t>
      </w:r>
      <w:r w:rsidRPr="001E091B">
        <w:rPr>
          <w:rFonts w:asciiTheme="minorHAnsi" w:hAnsiTheme="minorHAnsi"/>
        </w:rPr>
        <w:t>компаний</w:t>
      </w:r>
      <w:r w:rsidR="001E6077" w:rsidRPr="00043129">
        <w:rPr>
          <w:rFonts w:asciiTheme="minorHAnsi" w:hAnsiTheme="minorHAnsi"/>
        </w:rPr>
        <w:t xml:space="preserve"> </w:t>
      </w:r>
      <w:r w:rsidRPr="001E091B">
        <w:rPr>
          <w:rFonts w:asciiTheme="minorHAnsi" w:hAnsiTheme="minorHAnsi"/>
        </w:rPr>
        <w:t>выделяются</w:t>
      </w:r>
      <w:r w:rsidR="001E6077" w:rsidRPr="00043129">
        <w:rPr>
          <w:rFonts w:asciiTheme="minorHAnsi" w:hAnsiTheme="minorHAnsi"/>
        </w:rPr>
        <w:t xml:space="preserve"> </w:t>
      </w:r>
      <w:r w:rsidRPr="001E091B">
        <w:rPr>
          <w:rFonts w:asciiTheme="minorHAnsi" w:hAnsiTheme="minorHAnsi"/>
        </w:rPr>
        <w:t>также</w:t>
      </w:r>
      <w:r w:rsidRPr="00043129">
        <w:rPr>
          <w:rFonts w:asciiTheme="minorHAnsi" w:hAnsiTheme="minorHAnsi"/>
        </w:rPr>
        <w:t xml:space="preserve"> </w:t>
      </w:r>
      <w:r w:rsidR="00043129">
        <w:rPr>
          <w:rFonts w:asciiTheme="minorHAnsi" w:hAnsiTheme="minorHAnsi"/>
        </w:rPr>
        <w:t>…</w:t>
      </w:r>
      <w:r w:rsidR="00043129" w:rsidRPr="00043129">
        <w:rPr>
          <w:rFonts w:asciiTheme="minorHAnsi" w:hAnsiTheme="minorHAnsi" w:cstheme="minorBidi"/>
          <w:sz w:val="22"/>
          <w:szCs w:val="22"/>
        </w:rPr>
        <w:t>.</w:t>
      </w:r>
    </w:p>
    <w:p w:rsidR="00043129" w:rsidRDefault="00043129">
      <w:pPr>
        <w:spacing w:after="160" w:line="259" w:lineRule="auto"/>
        <w:ind w:firstLine="0"/>
        <w:jc w:val="left"/>
        <w:rPr>
          <w:rFonts w:asciiTheme="minorHAnsi" w:eastAsia="Times New Roman" w:hAnsiTheme="minorHAnsi" w:cs="Times New Roman"/>
          <w:szCs w:val="24"/>
          <w:lang w:eastAsia="ru-RU"/>
        </w:rPr>
      </w:pPr>
      <w:r>
        <w:rPr>
          <w:rFonts w:asciiTheme="minorHAnsi" w:hAnsiTheme="minorHAnsi"/>
        </w:rPr>
        <w:br w:type="page"/>
      </w:r>
    </w:p>
    <w:p w:rsidR="00DC2B8B" w:rsidRDefault="001E091B" w:rsidP="00897DB2">
      <w:pPr>
        <w:pStyle w:val="I"/>
        <w:numPr>
          <w:ilvl w:val="0"/>
          <w:numId w:val="25"/>
        </w:numPr>
        <w:outlineLvl w:val="0"/>
      </w:pPr>
      <w:bookmarkStart w:id="56" w:name="_Toc371369035"/>
      <w:bookmarkStart w:id="57" w:name="_Toc371379988"/>
      <w:r>
        <w:lastRenderedPageBreak/>
        <w:t>Рынок консалтинговых услуг в России</w:t>
      </w:r>
      <w:bookmarkEnd w:id="56"/>
      <w:bookmarkEnd w:id="57"/>
    </w:p>
    <w:p w:rsidR="00897DB2" w:rsidRPr="00897DB2" w:rsidRDefault="00043129" w:rsidP="00043129">
      <w:pPr>
        <w:ind w:firstLine="851"/>
        <w:contextualSpacing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</w:rPr>
        <w:t>…</w:t>
      </w:r>
      <w:r w:rsidR="00897DB2" w:rsidRPr="00897DB2">
        <w:rPr>
          <w:rFonts w:asciiTheme="minorHAnsi" w:hAnsiTheme="minorHAnsi"/>
          <w:szCs w:val="24"/>
        </w:rPr>
        <w:t xml:space="preserve"> Однако, развиваясь</w:t>
      </w:r>
      <w:r w:rsidR="00897DB2" w:rsidRPr="00897DB2">
        <w:rPr>
          <w:rFonts w:asciiTheme="minorHAnsi" w:hAnsiTheme="minorHAnsi"/>
          <w:color w:val="000000"/>
          <w:szCs w:val="24"/>
        </w:rPr>
        <w:t xml:space="preserve"> с начала 1990-х гг., он сохраняет достаточно </w:t>
      </w:r>
      <w:r>
        <w:rPr>
          <w:rFonts w:asciiTheme="minorHAnsi" w:hAnsiTheme="minorHAnsi"/>
        </w:rPr>
        <w:t>…</w:t>
      </w:r>
      <w:r w:rsidR="00897DB2" w:rsidRPr="00897DB2">
        <w:rPr>
          <w:rFonts w:asciiTheme="minorHAnsi" w:hAnsiTheme="minorHAnsi"/>
          <w:color w:val="000000"/>
          <w:szCs w:val="24"/>
        </w:rPr>
        <w:t xml:space="preserve"> темпы развития – до </w:t>
      </w:r>
      <w:r>
        <w:rPr>
          <w:rFonts w:asciiTheme="minorHAnsi" w:hAnsiTheme="minorHAnsi"/>
        </w:rPr>
        <w:t>…</w:t>
      </w:r>
      <w:r w:rsidR="00897DB2" w:rsidRPr="00897DB2">
        <w:rPr>
          <w:rFonts w:asciiTheme="minorHAnsi" w:hAnsiTheme="minorHAnsi"/>
          <w:color w:val="000000"/>
          <w:szCs w:val="24"/>
        </w:rPr>
        <w:t xml:space="preserve">% в год. </w:t>
      </w:r>
    </w:p>
    <w:p w:rsidR="00043129" w:rsidRPr="00043129" w:rsidRDefault="00897DB2" w:rsidP="00897DB2">
      <w:pPr>
        <w:ind w:firstLine="851"/>
        <w:contextualSpacing/>
        <w:rPr>
          <w:rFonts w:asciiTheme="minorHAnsi" w:hAnsiTheme="minorHAnsi"/>
        </w:rPr>
      </w:pPr>
      <w:r w:rsidRPr="00897DB2">
        <w:rPr>
          <w:rFonts w:asciiTheme="minorHAnsi" w:hAnsiTheme="minorHAnsi"/>
          <w:szCs w:val="24"/>
        </w:rPr>
        <w:t>Таким образом, о</w:t>
      </w:r>
      <w:r w:rsidR="00043129">
        <w:rPr>
          <w:rFonts w:asciiTheme="minorHAnsi" w:hAnsiTheme="minorHAnsi"/>
          <w:szCs w:val="24"/>
        </w:rPr>
        <w:t xml:space="preserve">бщей тенденцией рынка является </w:t>
      </w:r>
      <w:r w:rsidR="00043129">
        <w:rPr>
          <w:rFonts w:asciiTheme="minorHAnsi" w:hAnsiTheme="minorHAnsi"/>
        </w:rPr>
        <w:t>…</w:t>
      </w:r>
      <w:r w:rsidR="00043129" w:rsidRPr="00043129">
        <w:rPr>
          <w:rFonts w:asciiTheme="minorHAnsi" w:hAnsiTheme="minorHAnsi"/>
        </w:rPr>
        <w:t>.</w:t>
      </w:r>
    </w:p>
    <w:p w:rsidR="00897DB2" w:rsidRPr="00D160E2" w:rsidRDefault="00DA0D6E" w:rsidP="00897DB2">
      <w:pPr>
        <w:pStyle w:val="af4"/>
      </w:pPr>
      <w:bookmarkStart w:id="58" w:name="_Toc371600340"/>
      <w:r>
        <w:t>Диаграмма 3</w:t>
      </w:r>
      <w:r w:rsidR="00897DB2" w:rsidRPr="005E6235">
        <w:rPr>
          <w:noProof/>
        </w:rPr>
        <w:t>. Объем и темпы прир</w:t>
      </w:r>
      <w:r w:rsidR="00897DB2">
        <w:rPr>
          <w:noProof/>
        </w:rPr>
        <w:t xml:space="preserve">оста рынка консалтинговых услуг в России в 2007 - 2012 гг., млрд. руб. </w:t>
      </w:r>
      <w:r w:rsidR="00897DB2" w:rsidRPr="005E6235">
        <w:rPr>
          <w:noProof/>
        </w:rPr>
        <w:t>и %</w:t>
      </w:r>
      <w:bookmarkEnd w:id="58"/>
      <w:r w:rsidR="00DE0263">
        <w:rPr>
          <w:noProof/>
        </w:rPr>
        <w:t>.</w:t>
      </w:r>
    </w:p>
    <w:p w:rsidR="00897DB2" w:rsidRDefault="00DA0D6E" w:rsidP="00897DB2">
      <w:pPr>
        <w:ind w:firstLine="851"/>
        <w:contextualSpacing/>
        <w:rPr>
          <w:rFonts w:ascii="Times New Roman" w:hAnsi="Times New Roman"/>
          <w:szCs w:val="24"/>
        </w:rPr>
      </w:pPr>
      <w:r w:rsidRPr="00DA0D6E">
        <w:rPr>
          <w:rFonts w:ascii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1028A9F" wp14:editId="698CCAF4">
            <wp:simplePos x="0" y="0"/>
            <wp:positionH relativeFrom="column">
              <wp:posOffset>5715</wp:posOffset>
            </wp:positionH>
            <wp:positionV relativeFrom="paragraph">
              <wp:posOffset>161290</wp:posOffset>
            </wp:positionV>
            <wp:extent cx="5940425" cy="3180080"/>
            <wp:effectExtent l="19050" t="0" r="22225" b="127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897DB2" w:rsidRPr="005E792F" w:rsidRDefault="00897DB2" w:rsidP="005E792F">
      <w:pPr>
        <w:pStyle w:val="III"/>
        <w:numPr>
          <w:ilvl w:val="1"/>
          <w:numId w:val="34"/>
        </w:numPr>
        <w:rPr>
          <w:lang w:val="ru-RU"/>
        </w:rPr>
      </w:pPr>
      <w:r w:rsidRPr="005E792F">
        <w:rPr>
          <w:lang w:val="ru-RU"/>
        </w:rPr>
        <w:t xml:space="preserve">Объем и темпы </w:t>
      </w:r>
      <w:r w:rsidR="00333138">
        <w:rPr>
          <w:lang w:val="ru-RU"/>
        </w:rPr>
        <w:t>при</w:t>
      </w:r>
      <w:r w:rsidRPr="005E792F">
        <w:rPr>
          <w:lang w:val="ru-RU"/>
        </w:rPr>
        <w:t>роста рынка</w:t>
      </w:r>
    </w:p>
    <w:p w:rsidR="00897DB2" w:rsidRPr="008F399A" w:rsidRDefault="00685054" w:rsidP="00897DB2">
      <w:pPr>
        <w:ind w:firstLine="851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По неоспоримым данным в</w:t>
      </w:r>
      <w:r w:rsidR="00897DB2" w:rsidRPr="008F399A">
        <w:rPr>
          <w:rFonts w:asciiTheme="minorHAnsi" w:hAnsiTheme="minorHAnsi"/>
          <w:szCs w:val="24"/>
        </w:rPr>
        <w:t xml:space="preserve"> последние годы наблюдается </w:t>
      </w:r>
      <w:r w:rsidR="00043129">
        <w:rPr>
          <w:rFonts w:asciiTheme="minorHAnsi" w:hAnsiTheme="minorHAnsi"/>
        </w:rPr>
        <w:t>…</w:t>
      </w:r>
      <w:r w:rsidR="00043129" w:rsidRPr="00043129">
        <w:rPr>
          <w:rFonts w:asciiTheme="minorHAnsi" w:hAnsiTheme="minorHAnsi"/>
        </w:rPr>
        <w:t xml:space="preserve"> </w:t>
      </w:r>
      <w:r w:rsidR="00897DB2" w:rsidRPr="008F399A">
        <w:rPr>
          <w:rFonts w:asciiTheme="minorHAnsi" w:hAnsiTheme="minorHAnsi"/>
          <w:szCs w:val="24"/>
        </w:rPr>
        <w:t>объема российского рынка консалтинговых услуг:</w:t>
      </w:r>
    </w:p>
    <w:p w:rsidR="00897DB2" w:rsidRDefault="00897DB2" w:rsidP="00897DB2">
      <w:pPr>
        <w:pStyle w:val="af4"/>
      </w:pPr>
      <w:bookmarkStart w:id="59" w:name="_Toc371600341"/>
      <w:r>
        <w:rPr>
          <w:noProof/>
          <w:lang w:eastAsia="ru-RU"/>
        </w:rPr>
        <w:lastRenderedPageBreak/>
        <w:drawing>
          <wp:anchor distT="0" distB="0" distL="114300" distR="114300" simplePos="0" relativeHeight="251644928" behindDoc="0" locked="0" layoutInCell="1" allowOverlap="1" wp14:anchorId="5952E0A2" wp14:editId="5B809991">
            <wp:simplePos x="0" y="0"/>
            <wp:positionH relativeFrom="column">
              <wp:posOffset>-32385</wp:posOffset>
            </wp:positionH>
            <wp:positionV relativeFrom="paragraph">
              <wp:posOffset>407670</wp:posOffset>
            </wp:positionV>
            <wp:extent cx="5895975" cy="3200400"/>
            <wp:effectExtent l="0" t="0" r="0" b="0"/>
            <wp:wrapSquare wrapText="bothSides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t>Диагр</w:t>
      </w:r>
      <w:r w:rsidR="005E792F">
        <w:t xml:space="preserve">амма </w:t>
      </w:r>
      <w:r w:rsidR="00D65A65">
        <w:t>4</w:t>
      </w:r>
      <w:r w:rsidRPr="005E6235">
        <w:rPr>
          <w:noProof/>
        </w:rPr>
        <w:t>. Объем и темпы прир</w:t>
      </w:r>
      <w:r>
        <w:rPr>
          <w:noProof/>
        </w:rPr>
        <w:t xml:space="preserve">оста рынка консалтинговых услуг в России в 2007 - 2012 гг., млрд. руб. </w:t>
      </w:r>
      <w:r w:rsidRPr="005E6235">
        <w:rPr>
          <w:noProof/>
        </w:rPr>
        <w:t>и %</w:t>
      </w:r>
      <w:bookmarkEnd w:id="59"/>
      <w:r w:rsidR="008C74BB">
        <w:rPr>
          <w:noProof/>
        </w:rPr>
        <w:t>.</w:t>
      </w:r>
    </w:p>
    <w:p w:rsidR="00897DB2" w:rsidRPr="00F144FD" w:rsidRDefault="00897DB2" w:rsidP="00F144FD">
      <w:pPr>
        <w:spacing w:line="240" w:lineRule="auto"/>
        <w:ind w:firstLine="567"/>
        <w:contextualSpacing/>
        <w:rPr>
          <w:rFonts w:asciiTheme="minorHAnsi" w:hAnsiTheme="minorHAnsi"/>
          <w:sz w:val="20"/>
          <w:szCs w:val="20"/>
        </w:rPr>
      </w:pPr>
      <w:r w:rsidRPr="00F144FD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F144FD" w:rsidRPr="00F144FD" w:rsidRDefault="00F144FD" w:rsidP="00F144FD">
      <w:pPr>
        <w:spacing w:line="240" w:lineRule="auto"/>
        <w:ind w:firstLine="567"/>
        <w:contextualSpacing/>
        <w:rPr>
          <w:rFonts w:asciiTheme="minorHAnsi" w:hAnsiTheme="minorHAnsi"/>
          <w:sz w:val="20"/>
          <w:szCs w:val="20"/>
        </w:rPr>
      </w:pPr>
      <w:r w:rsidRPr="00F144FD">
        <w:rPr>
          <w:rFonts w:asciiTheme="minorHAnsi" w:hAnsiTheme="minorHAnsi"/>
          <w:sz w:val="20"/>
          <w:szCs w:val="20"/>
        </w:rPr>
        <w:t>Источник: «Коммерсант-Деньги»</w:t>
      </w:r>
      <w:r w:rsidRPr="00F144FD">
        <w:rPr>
          <w:rStyle w:val="afb"/>
          <w:rFonts w:asciiTheme="minorHAnsi" w:hAnsiTheme="minorHAnsi"/>
          <w:sz w:val="20"/>
          <w:szCs w:val="20"/>
        </w:rPr>
        <w:footnoteReference w:id="1"/>
      </w:r>
    </w:p>
    <w:p w:rsidR="00F144FD" w:rsidRDefault="00F144FD" w:rsidP="00D65A65">
      <w:pPr>
        <w:shd w:val="clear" w:color="auto" w:fill="FFFFFF"/>
        <w:spacing w:after="240"/>
        <w:ind w:firstLine="0"/>
        <w:contextualSpacing/>
        <w:rPr>
          <w:rFonts w:asciiTheme="minorHAnsi" w:hAnsiTheme="minorHAnsi"/>
          <w:color w:val="333333"/>
          <w:szCs w:val="24"/>
        </w:rPr>
      </w:pPr>
    </w:p>
    <w:p w:rsidR="00897DB2" w:rsidRPr="004D02FC" w:rsidRDefault="00897DB2" w:rsidP="00897DB2">
      <w:pPr>
        <w:shd w:val="clear" w:color="auto" w:fill="FFFFFF"/>
        <w:spacing w:after="240"/>
        <w:contextualSpacing/>
        <w:rPr>
          <w:rFonts w:ascii="Times New Roman" w:hAnsi="Times New Roman"/>
          <w:color w:val="333333"/>
          <w:szCs w:val="24"/>
        </w:rPr>
      </w:pPr>
      <w:r w:rsidRPr="008F399A">
        <w:rPr>
          <w:rFonts w:asciiTheme="minorHAnsi" w:hAnsiTheme="minorHAnsi"/>
          <w:color w:val="333333"/>
          <w:szCs w:val="24"/>
        </w:rPr>
        <w:t xml:space="preserve">Данные показывают, что до кризиса </w:t>
      </w:r>
      <w:smartTag w:uri="urn:schemas-microsoft-com:office:smarttags" w:element="metricconverter">
        <w:smartTagPr>
          <w:attr w:name="ProductID" w:val="2008 г"/>
        </w:smartTagPr>
        <w:r w:rsidRPr="008F399A">
          <w:rPr>
            <w:rFonts w:asciiTheme="minorHAnsi" w:hAnsiTheme="minorHAnsi"/>
            <w:color w:val="333333"/>
            <w:szCs w:val="24"/>
          </w:rPr>
          <w:t>2008 г</w:t>
        </w:r>
      </w:smartTag>
      <w:r w:rsidRPr="008F399A">
        <w:rPr>
          <w:rFonts w:asciiTheme="minorHAnsi" w:hAnsiTheme="minorHAnsi"/>
          <w:color w:val="333333"/>
          <w:szCs w:val="24"/>
        </w:rPr>
        <w:t xml:space="preserve">. прирост рынка составлял примерно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% в год, затем в посткризисном </w:t>
      </w:r>
      <w:smartTag w:uri="urn:schemas-microsoft-com:office:smarttags" w:element="metricconverter">
        <w:smartTagPr>
          <w:attr w:name="ProductID" w:val="2009 г"/>
        </w:smartTagPr>
        <w:r w:rsidRPr="008F399A">
          <w:rPr>
            <w:rFonts w:asciiTheme="minorHAnsi" w:hAnsiTheme="minorHAnsi"/>
            <w:color w:val="333333"/>
            <w:szCs w:val="24"/>
          </w:rPr>
          <w:t>2009 г</w:t>
        </w:r>
      </w:smartTag>
      <w:r w:rsidRPr="008F399A">
        <w:rPr>
          <w:rFonts w:asciiTheme="minorHAnsi" w:hAnsiTheme="minorHAnsi"/>
          <w:color w:val="333333"/>
          <w:szCs w:val="24"/>
        </w:rPr>
        <w:t xml:space="preserve">. темпы резко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, и </w:t>
      </w:r>
      <w:r w:rsidR="00D65A65">
        <w:rPr>
          <w:rFonts w:asciiTheme="minorHAnsi" w:hAnsiTheme="minorHAnsi"/>
          <w:color w:val="333333"/>
          <w:szCs w:val="24"/>
        </w:rPr>
        <w:t>объем рынка оставался практически неизменным</w:t>
      </w:r>
      <w:r w:rsidRPr="008F399A">
        <w:rPr>
          <w:rFonts w:asciiTheme="minorHAnsi" w:hAnsiTheme="minorHAnsi"/>
          <w:color w:val="333333"/>
          <w:szCs w:val="24"/>
        </w:rPr>
        <w:t xml:space="preserve"> в </w:t>
      </w:r>
      <w:smartTag w:uri="urn:schemas-microsoft-com:office:smarttags" w:element="metricconverter">
        <w:smartTagPr>
          <w:attr w:name="ProductID" w:val="2010 г"/>
        </w:smartTagPr>
        <w:r w:rsidRPr="008F399A">
          <w:rPr>
            <w:rFonts w:asciiTheme="minorHAnsi" w:hAnsiTheme="minorHAnsi"/>
            <w:color w:val="333333"/>
            <w:szCs w:val="24"/>
          </w:rPr>
          <w:t>2010 г</w:t>
        </w:r>
      </w:smartTag>
      <w:r w:rsidRPr="008F399A">
        <w:rPr>
          <w:rFonts w:asciiTheme="minorHAnsi" w:hAnsiTheme="minorHAnsi"/>
          <w:color w:val="333333"/>
          <w:szCs w:val="24"/>
        </w:rPr>
        <w:t xml:space="preserve">. Однако резкий скачок в </w:t>
      </w:r>
      <w:smartTag w:uri="urn:schemas-microsoft-com:office:smarttags" w:element="metricconverter">
        <w:smartTagPr>
          <w:attr w:name="ProductID" w:val="2011 г"/>
        </w:smartTagPr>
        <w:r w:rsidRPr="008F399A">
          <w:rPr>
            <w:rFonts w:asciiTheme="minorHAnsi" w:hAnsiTheme="minorHAnsi"/>
            <w:color w:val="333333"/>
            <w:szCs w:val="24"/>
          </w:rPr>
          <w:t>2011 г</w:t>
        </w:r>
      </w:smartTag>
      <w:r w:rsidRPr="008F399A">
        <w:rPr>
          <w:rFonts w:asciiTheme="minorHAnsi" w:hAnsiTheme="minorHAnsi"/>
          <w:color w:val="333333"/>
          <w:szCs w:val="24"/>
        </w:rPr>
        <w:t xml:space="preserve">. (на целых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>%) дал повод прогнозировать дальнейшее его ускоренное развитие примерно такими же темпами. Некоторые эксперты, наоборот, предвещали стагнацию на рынке в следующем, 2012 году.</w:t>
      </w:r>
      <w:r w:rsidR="00D65A65">
        <w:rPr>
          <w:rFonts w:asciiTheme="minorHAnsi" w:hAnsiTheme="minorHAnsi"/>
          <w:color w:val="333333"/>
          <w:szCs w:val="24"/>
        </w:rPr>
        <w:t xml:space="preserve"> </w:t>
      </w:r>
      <w:r w:rsidRPr="008F399A">
        <w:rPr>
          <w:rFonts w:asciiTheme="minorHAnsi" w:hAnsiTheme="minorHAnsi"/>
          <w:color w:val="333333"/>
          <w:szCs w:val="24"/>
        </w:rPr>
        <w:t xml:space="preserve">Подобный прогноз строило, например, издание  «Эксперт» в апреле </w:t>
      </w:r>
      <w:smartTag w:uri="urn:schemas-microsoft-com:office:smarttags" w:element="metricconverter">
        <w:smartTagPr>
          <w:attr w:name="ProductID" w:val="2012 г"/>
        </w:smartTagPr>
        <w:r w:rsidRPr="008F399A">
          <w:rPr>
            <w:rFonts w:asciiTheme="minorHAnsi" w:hAnsiTheme="minorHAnsi"/>
            <w:color w:val="333333"/>
            <w:szCs w:val="24"/>
          </w:rPr>
          <w:t>2012 г</w:t>
        </w:r>
      </w:smartTag>
      <w:r w:rsidRPr="008F399A">
        <w:rPr>
          <w:rFonts w:asciiTheme="minorHAnsi" w:hAnsiTheme="minorHAnsi"/>
          <w:color w:val="333333"/>
          <w:szCs w:val="24"/>
        </w:rPr>
        <w:t>.</w:t>
      </w:r>
      <w:r w:rsidRPr="008F399A">
        <w:rPr>
          <w:rStyle w:val="afb"/>
          <w:rFonts w:asciiTheme="minorHAnsi" w:hAnsiTheme="minorHAnsi"/>
          <w:color w:val="333333"/>
          <w:szCs w:val="24"/>
        </w:rPr>
        <w:footnoteReference w:id="2"/>
      </w:r>
      <w:r w:rsidRPr="008F399A">
        <w:rPr>
          <w:rFonts w:asciiTheme="minorHAnsi" w:hAnsiTheme="minorHAnsi"/>
          <w:color w:val="333333"/>
          <w:szCs w:val="24"/>
        </w:rPr>
        <w:t xml:space="preserve"> Кроме того, его оценки несколько отличались от оценок «Коммерсанта». Так, по данным «Эксперта», прирост рынка за </w:t>
      </w:r>
      <w:smartTag w:uri="urn:schemas-microsoft-com:office:smarttags" w:element="metricconverter">
        <w:smartTagPr>
          <w:attr w:name="ProductID" w:val="2011 г"/>
        </w:smartTagPr>
        <w:r w:rsidRPr="008F399A">
          <w:rPr>
            <w:rFonts w:asciiTheme="minorHAnsi" w:hAnsiTheme="minorHAnsi"/>
            <w:color w:val="333333"/>
            <w:szCs w:val="24"/>
          </w:rPr>
          <w:t>2011 г</w:t>
        </w:r>
      </w:smartTag>
      <w:r w:rsidRPr="008F399A">
        <w:rPr>
          <w:rFonts w:asciiTheme="minorHAnsi" w:hAnsiTheme="minorHAnsi"/>
          <w:color w:val="333333"/>
          <w:szCs w:val="24"/>
        </w:rPr>
        <w:t xml:space="preserve">. составил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>%. Причина разницы в оценках кроется, возможно, в том, что «Эксперт» оценивал доходы 150 крупнейших компаний, тогда как «Коммерсант» - только 75.</w:t>
      </w:r>
    </w:p>
    <w:p w:rsidR="00897DB2" w:rsidRDefault="00897DB2" w:rsidP="00897DB2">
      <w:pPr>
        <w:pStyle w:val="af4"/>
      </w:pPr>
      <w:bookmarkStart w:id="60" w:name="_Toc371600342"/>
      <w:r>
        <w:rPr>
          <w:noProof/>
          <w:lang w:eastAsia="ru-RU"/>
        </w:rPr>
        <w:lastRenderedPageBreak/>
        <w:drawing>
          <wp:anchor distT="0" distB="0" distL="114300" distR="114300" simplePos="0" relativeHeight="251645952" behindDoc="0" locked="0" layoutInCell="1" allowOverlap="1" wp14:anchorId="73A34F17" wp14:editId="5B1E1380">
            <wp:simplePos x="0" y="0"/>
            <wp:positionH relativeFrom="margin">
              <wp:align>right</wp:align>
            </wp:positionH>
            <wp:positionV relativeFrom="paragraph">
              <wp:posOffset>372110</wp:posOffset>
            </wp:positionV>
            <wp:extent cx="5895975" cy="3200400"/>
            <wp:effectExtent l="0" t="0" r="0" b="0"/>
            <wp:wrapSquare wrapText="bothSides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D65A65">
        <w:t>Диаграмма 5</w:t>
      </w:r>
      <w:r w:rsidRPr="005E6235">
        <w:rPr>
          <w:noProof/>
        </w:rPr>
        <w:t>. Объем и темпы прир</w:t>
      </w:r>
      <w:r>
        <w:rPr>
          <w:noProof/>
        </w:rPr>
        <w:t xml:space="preserve">оста рынка консалтинговых услуг в России в 2007 - 2012 гг., млрд. руб. </w:t>
      </w:r>
      <w:r w:rsidRPr="005E6235">
        <w:rPr>
          <w:noProof/>
        </w:rPr>
        <w:t>и %</w:t>
      </w:r>
      <w:bookmarkEnd w:id="60"/>
      <w:r w:rsidR="008C74BB">
        <w:rPr>
          <w:noProof/>
        </w:rPr>
        <w:t>.</w:t>
      </w:r>
    </w:p>
    <w:p w:rsidR="00897DB2" w:rsidRDefault="00897DB2" w:rsidP="00333138">
      <w:pPr>
        <w:spacing w:line="240" w:lineRule="auto"/>
        <w:ind w:firstLine="567"/>
        <w:contextualSpacing/>
        <w:rPr>
          <w:rFonts w:asciiTheme="minorHAnsi" w:hAnsiTheme="minorHAnsi"/>
          <w:sz w:val="20"/>
          <w:szCs w:val="20"/>
        </w:rPr>
      </w:pPr>
      <w:r w:rsidRPr="00DE0667">
        <w:rPr>
          <w:rFonts w:asciiTheme="minorHAnsi" w:hAnsiTheme="minorHAnsi"/>
          <w:sz w:val="20"/>
          <w:szCs w:val="20"/>
        </w:rPr>
        <w:t>*данные приведены на основе анализа доходов 150 крупнейших консалтинговых компаний России</w:t>
      </w:r>
    </w:p>
    <w:p w:rsidR="00333138" w:rsidRPr="00F144FD" w:rsidRDefault="00333138" w:rsidP="00333138">
      <w:pPr>
        <w:spacing w:line="240" w:lineRule="auto"/>
        <w:ind w:firstLine="567"/>
        <w:contextualSpacing/>
        <w:rPr>
          <w:rFonts w:asciiTheme="minorHAnsi" w:hAnsiTheme="minorHAnsi"/>
          <w:sz w:val="20"/>
          <w:szCs w:val="20"/>
        </w:rPr>
      </w:pPr>
      <w:r w:rsidRPr="00F144FD">
        <w:rPr>
          <w:rFonts w:asciiTheme="minorHAnsi" w:hAnsiTheme="minorHAnsi"/>
          <w:sz w:val="20"/>
          <w:szCs w:val="20"/>
        </w:rPr>
        <w:t xml:space="preserve">Источник: </w:t>
      </w:r>
      <w:r>
        <w:rPr>
          <w:rFonts w:asciiTheme="minorHAnsi" w:hAnsiTheme="minorHAnsi"/>
          <w:sz w:val="20"/>
          <w:szCs w:val="20"/>
        </w:rPr>
        <w:t>Эксперт РА</w:t>
      </w:r>
    </w:p>
    <w:p w:rsidR="00333138" w:rsidRPr="00DE0667" w:rsidRDefault="00333138" w:rsidP="00DE0667">
      <w:pPr>
        <w:ind w:firstLine="567"/>
        <w:rPr>
          <w:rFonts w:asciiTheme="minorHAnsi" w:hAnsiTheme="minorHAnsi"/>
          <w:sz w:val="20"/>
          <w:szCs w:val="20"/>
        </w:rPr>
      </w:pPr>
    </w:p>
    <w:p w:rsidR="007A27AB" w:rsidRDefault="00897DB2" w:rsidP="00043129">
      <w:pPr>
        <w:shd w:val="clear" w:color="auto" w:fill="FFFFFF"/>
        <w:spacing w:after="240"/>
        <w:contextualSpacing/>
        <w:rPr>
          <w:rFonts w:asciiTheme="minorHAnsi" w:hAnsiTheme="minorHAnsi"/>
          <w:color w:val="333333"/>
          <w:szCs w:val="24"/>
        </w:rPr>
      </w:pPr>
      <w:r w:rsidRPr="008F399A">
        <w:rPr>
          <w:rFonts w:asciiTheme="minorHAnsi" w:hAnsiTheme="minorHAnsi"/>
          <w:color w:val="333333"/>
          <w:szCs w:val="24"/>
        </w:rPr>
        <w:t xml:space="preserve">По предположению «Эксперта», следующий, </w:t>
      </w:r>
      <w:smartTag w:uri="urn:schemas-microsoft-com:office:smarttags" w:element="metricconverter">
        <w:smartTagPr>
          <w:attr w:name="ProductID" w:val="2012 г"/>
        </w:smartTagPr>
        <w:r w:rsidRPr="008F399A">
          <w:rPr>
            <w:rFonts w:asciiTheme="minorHAnsi" w:hAnsiTheme="minorHAnsi"/>
            <w:color w:val="333333"/>
            <w:szCs w:val="24"/>
          </w:rPr>
          <w:t>2012 год</w:t>
        </w:r>
      </w:smartTag>
      <w:r w:rsidRPr="008F399A">
        <w:rPr>
          <w:rFonts w:asciiTheme="minorHAnsi" w:hAnsiTheme="minorHAnsi"/>
          <w:color w:val="333333"/>
          <w:szCs w:val="24"/>
        </w:rPr>
        <w:t xml:space="preserve"> должен был быть отмечен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 в секторе консалтинговых услуг, что и подтвердили данные: рост, по данным рейтингового агентства, составил лишь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% против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% годом ранее (оценки журнала «Коммерсант» -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% и </w:t>
      </w:r>
      <w:r w:rsidR="00043129">
        <w:rPr>
          <w:rFonts w:asciiTheme="minorHAnsi" w:hAnsiTheme="minorHAnsi"/>
        </w:rPr>
        <w:t>…</w:t>
      </w:r>
      <w:r w:rsidRPr="008F399A">
        <w:rPr>
          <w:rFonts w:asciiTheme="minorHAnsi" w:hAnsiTheme="minorHAnsi"/>
          <w:color w:val="333333"/>
          <w:szCs w:val="24"/>
        </w:rPr>
        <w:t xml:space="preserve">% соответственно). </w:t>
      </w:r>
    </w:p>
    <w:p w:rsidR="00043129" w:rsidRDefault="00043129" w:rsidP="00043129">
      <w:pPr>
        <w:shd w:val="clear" w:color="auto" w:fill="FFFFFF"/>
        <w:spacing w:after="240"/>
        <w:contextualSpacing/>
        <w:rPr>
          <w:rFonts w:asciiTheme="minorHAnsi" w:hAnsi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/>
        </w:rPr>
        <w:t>…</w:t>
      </w:r>
    </w:p>
    <w:p w:rsidR="00043129" w:rsidRDefault="00384F2D" w:rsidP="008F399A">
      <w:pPr>
        <w:shd w:val="clear" w:color="auto" w:fill="FFFFFF"/>
        <w:spacing w:after="240"/>
        <w:ind w:firstLine="851"/>
        <w:contextualSpacing/>
        <w:rPr>
          <w:rFonts w:asciiTheme="minorHAnsi" w:hAnsiTheme="minorHAnsi"/>
          <w:color w:val="333333"/>
          <w:szCs w:val="24"/>
        </w:rPr>
      </w:pPr>
      <w:r>
        <w:rPr>
          <w:rFonts w:asciiTheme="minorHAnsi" w:hAnsiTheme="minorHAnsi"/>
          <w:color w:val="333333"/>
          <w:szCs w:val="24"/>
        </w:rPr>
        <w:t>Очевидно, что я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вное преимущество перед другими имеет сектор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>, объем которого занимает целую половину российского ры</w:t>
      </w:r>
      <w:r>
        <w:rPr>
          <w:rFonts w:asciiTheme="minorHAnsi" w:hAnsiTheme="minorHAnsi"/>
          <w:color w:val="333333"/>
          <w:szCs w:val="24"/>
        </w:rPr>
        <w:t>нка. Довольно востребован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 и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,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, </w:t>
      </w:r>
      <w:r>
        <w:rPr>
          <w:rFonts w:asciiTheme="minorHAnsi" w:hAnsiTheme="minorHAnsi"/>
          <w:color w:val="333333"/>
          <w:szCs w:val="24"/>
        </w:rPr>
        <w:t xml:space="preserve">а 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также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 и </w:t>
      </w:r>
      <w:r w:rsidR="00043129">
        <w:rPr>
          <w:rFonts w:asciiTheme="minorHAnsi" w:hAnsiTheme="minorHAnsi"/>
        </w:rPr>
        <w:t>…</w:t>
      </w:r>
      <w:r w:rsidR="00043129" w:rsidRPr="00DE0667">
        <w:rPr>
          <w:rFonts w:asciiTheme="minorHAnsi" w:hAnsiTheme="minorHAnsi"/>
          <w:color w:val="333333"/>
          <w:szCs w:val="24"/>
        </w:rPr>
        <w:t xml:space="preserve"> 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(по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>-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% рынка). Наименее популярным среди заказчиков оказались 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 xml:space="preserve"> (</w:t>
      </w:r>
      <w:r w:rsidR="00043129">
        <w:rPr>
          <w:rFonts w:asciiTheme="minorHAnsi" w:hAnsiTheme="minorHAnsi"/>
        </w:rPr>
        <w:t>…</w:t>
      </w:r>
      <w:r w:rsidR="008F399A" w:rsidRPr="00DE0667">
        <w:rPr>
          <w:rFonts w:asciiTheme="minorHAnsi" w:hAnsiTheme="minorHAnsi"/>
          <w:color w:val="333333"/>
          <w:szCs w:val="24"/>
        </w:rPr>
        <w:t>% рынка).</w:t>
      </w:r>
      <w:r w:rsidR="00DE0667" w:rsidRPr="00DE0667">
        <w:rPr>
          <w:rFonts w:asciiTheme="minorHAnsi" w:hAnsiTheme="minorHAnsi"/>
          <w:color w:val="333333"/>
          <w:szCs w:val="24"/>
        </w:rPr>
        <w:t xml:space="preserve"> </w:t>
      </w:r>
    </w:p>
    <w:p w:rsidR="008F399A" w:rsidRDefault="008F399A" w:rsidP="00E2620A">
      <w:pPr>
        <w:shd w:val="clear" w:color="auto" w:fill="FFFFFF"/>
        <w:spacing w:after="240"/>
        <w:contextualSpacing/>
        <w:rPr>
          <w:rFonts w:ascii="Times New Roman" w:hAnsi="Times New Roman"/>
          <w:color w:val="333333"/>
          <w:szCs w:val="24"/>
        </w:rPr>
      </w:pPr>
    </w:p>
    <w:p w:rsidR="00043129" w:rsidRDefault="00043129">
      <w:pPr>
        <w:spacing w:after="160" w:line="259" w:lineRule="auto"/>
        <w:ind w:firstLine="0"/>
        <w:jc w:val="left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br w:type="page"/>
      </w:r>
    </w:p>
    <w:p w:rsidR="00DE0667" w:rsidRPr="00384F2D" w:rsidRDefault="00DE0667" w:rsidP="00384F2D">
      <w:pPr>
        <w:pStyle w:val="III"/>
        <w:numPr>
          <w:ilvl w:val="0"/>
          <w:numId w:val="0"/>
        </w:numPr>
        <w:ind w:left="1069"/>
        <w:rPr>
          <w:lang w:val="ru-RU"/>
        </w:rPr>
      </w:pPr>
      <w:r>
        <w:lastRenderedPageBreak/>
        <w:t>IT</w:t>
      </w:r>
      <w:r w:rsidRPr="0075441B">
        <w:rPr>
          <w:lang w:val="ru-RU"/>
        </w:rPr>
        <w:t>-консалтинг</w:t>
      </w:r>
    </w:p>
    <w:p w:rsidR="00E2620A" w:rsidRPr="008955B1" w:rsidRDefault="00DE0667" w:rsidP="00E2620A">
      <w:pPr>
        <w:pStyle w:val="af4"/>
      </w:pPr>
      <w:bookmarkStart w:id="61" w:name="_Toc371600345"/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 wp14:anchorId="2E0843B3" wp14:editId="0E19ED04">
            <wp:simplePos x="0" y="0"/>
            <wp:positionH relativeFrom="margin">
              <wp:align>right</wp:align>
            </wp:positionH>
            <wp:positionV relativeFrom="paragraph">
              <wp:posOffset>446405</wp:posOffset>
            </wp:positionV>
            <wp:extent cx="5895975" cy="3200400"/>
            <wp:effectExtent l="0" t="0" r="0" b="0"/>
            <wp:wrapSquare wrapText="bothSides"/>
            <wp:docPr id="2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E2620A" w:rsidRPr="00212DDA">
        <w:t xml:space="preserve">Диаграмма </w:t>
      </w:r>
      <w:r w:rsidR="00384F2D">
        <w:t>7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консалтинговых услуг в сфере информационных технологий в России в 2007 - 2012 гг., млрд. руб.</w:t>
      </w:r>
      <w:r w:rsidR="00E2620A" w:rsidRPr="00212DDA">
        <w:rPr>
          <w:noProof/>
        </w:rPr>
        <w:t xml:space="preserve"> и %</w:t>
      </w:r>
      <w:bookmarkEnd w:id="61"/>
      <w:r w:rsidR="00AC1B65">
        <w:rPr>
          <w:noProof/>
        </w:rPr>
        <w:t>.</w:t>
      </w:r>
    </w:p>
    <w:p w:rsidR="00E2620A" w:rsidRPr="00DE0667" w:rsidRDefault="00E2620A" w:rsidP="00DE0667">
      <w:pPr>
        <w:ind w:firstLine="567"/>
        <w:rPr>
          <w:rFonts w:asciiTheme="minorHAnsi" w:hAnsiTheme="minorHAnsi"/>
          <w:sz w:val="20"/>
          <w:szCs w:val="20"/>
        </w:rPr>
      </w:pPr>
      <w:r w:rsidRPr="00DE0667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043129" w:rsidRDefault="00043129" w:rsidP="00043129"/>
    <w:p w:rsidR="00E2620A" w:rsidRPr="00E06340" w:rsidRDefault="00E2620A" w:rsidP="00E06340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E06340">
        <w:rPr>
          <w:lang w:val="ru-RU"/>
        </w:rPr>
        <w:t>Оценочная деятельность</w:t>
      </w:r>
    </w:p>
    <w:p w:rsidR="00E2620A" w:rsidRPr="00071233" w:rsidRDefault="0062085D" w:rsidP="00071233">
      <w:pPr>
        <w:pStyle w:val="af4"/>
        <w:rPr>
          <w:rStyle w:val="apple-converted-space"/>
        </w:rPr>
      </w:pPr>
      <w:bookmarkStart w:id="62" w:name="_Toc371600346"/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 wp14:anchorId="13A674C5" wp14:editId="73DA5386">
            <wp:simplePos x="0" y="0"/>
            <wp:positionH relativeFrom="margin">
              <wp:align>left</wp:align>
            </wp:positionH>
            <wp:positionV relativeFrom="paragraph">
              <wp:posOffset>505460</wp:posOffset>
            </wp:positionV>
            <wp:extent cx="5895975" cy="3200400"/>
            <wp:effectExtent l="0" t="0" r="0" b="0"/>
            <wp:wrapSquare wrapText="bothSides"/>
            <wp:docPr id="3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E2620A" w:rsidRPr="00212DDA">
        <w:t xml:space="preserve">Диаграмма </w:t>
      </w:r>
      <w:r w:rsidR="00071233">
        <w:t>8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консалтинговых услуг в сфере оценочной деятельности в России в 2007 - 2012 гг., млрд. руб.</w:t>
      </w:r>
      <w:r w:rsidR="00E2620A" w:rsidRPr="00212DDA">
        <w:rPr>
          <w:noProof/>
        </w:rPr>
        <w:t xml:space="preserve"> и %</w:t>
      </w:r>
      <w:bookmarkEnd w:id="62"/>
      <w:r w:rsidR="00AC1B65">
        <w:rPr>
          <w:noProof/>
        </w:rPr>
        <w:t>.</w:t>
      </w:r>
    </w:p>
    <w:p w:rsidR="00E2620A" w:rsidRPr="0075441B" w:rsidRDefault="00E2620A" w:rsidP="00071233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lastRenderedPageBreak/>
        <w:t>Финансовый консалтинг</w:t>
      </w:r>
    </w:p>
    <w:p w:rsidR="00E2620A" w:rsidRPr="00212DDA" w:rsidRDefault="00A30072" w:rsidP="00E2620A">
      <w:pPr>
        <w:pStyle w:val="af4"/>
      </w:pPr>
      <w:bookmarkStart w:id="63" w:name="_Toc371600347"/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19C33118" wp14:editId="703F3178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5895975" cy="3200400"/>
            <wp:effectExtent l="0" t="0" r="0" b="0"/>
            <wp:wrapSquare wrapText="bothSides"/>
            <wp:docPr id="3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E2620A" w:rsidRPr="00212DDA">
        <w:t xml:space="preserve">Диаграмма </w:t>
      </w:r>
      <w:r w:rsidR="00071233">
        <w:t>9</w:t>
      </w:r>
      <w:r w:rsidR="00E2620A">
        <w:rPr>
          <w:noProof/>
        </w:rPr>
        <w:t>. Объе</w:t>
      </w:r>
      <w:r w:rsidR="00E2620A" w:rsidRPr="00212DDA">
        <w:rPr>
          <w:noProof/>
        </w:rPr>
        <w:t>м и темпы прир</w:t>
      </w:r>
      <w:r w:rsidR="00E2620A">
        <w:rPr>
          <w:noProof/>
        </w:rPr>
        <w:t>оста рынка финансового консалтинга в России в 2007 - 2012 гг., млрд. руб.</w:t>
      </w:r>
      <w:r w:rsidR="00E2620A" w:rsidRPr="00212DDA">
        <w:rPr>
          <w:noProof/>
        </w:rPr>
        <w:t xml:space="preserve"> и %</w:t>
      </w:r>
      <w:bookmarkEnd w:id="63"/>
      <w:r w:rsidR="00AC1B65">
        <w:rPr>
          <w:noProof/>
        </w:rPr>
        <w:t>.</w:t>
      </w:r>
    </w:p>
    <w:p w:rsidR="00E2620A" w:rsidRPr="00A30072" w:rsidRDefault="00E2620A" w:rsidP="00A30072">
      <w:pPr>
        <w:ind w:firstLine="567"/>
        <w:rPr>
          <w:rFonts w:asciiTheme="minorHAnsi" w:hAnsiTheme="minorHAnsi"/>
          <w:sz w:val="20"/>
          <w:szCs w:val="20"/>
        </w:rPr>
      </w:pPr>
      <w:r w:rsidRPr="00A30072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043129" w:rsidRPr="00043129" w:rsidRDefault="00043129" w:rsidP="00043129">
      <w:pPr>
        <w:rPr>
          <w:sz w:val="16"/>
          <w:szCs w:val="16"/>
          <w:shd w:val="clear" w:color="auto" w:fill="FFFFFF"/>
        </w:rPr>
      </w:pPr>
    </w:p>
    <w:p w:rsidR="00E2620A" w:rsidRPr="0075441B" w:rsidRDefault="00E2620A" w:rsidP="003F71B0">
      <w:pPr>
        <w:pStyle w:val="III"/>
        <w:numPr>
          <w:ilvl w:val="0"/>
          <w:numId w:val="0"/>
        </w:numPr>
        <w:ind w:left="1069"/>
        <w:rPr>
          <w:shd w:val="clear" w:color="auto" w:fill="FFFFFF"/>
          <w:lang w:val="ru-RU"/>
        </w:rPr>
      </w:pPr>
      <w:r w:rsidRPr="0075441B">
        <w:rPr>
          <w:shd w:val="clear" w:color="auto" w:fill="FFFFFF"/>
          <w:lang w:val="ru-RU"/>
        </w:rPr>
        <w:t>Общее управление и администрирование</w:t>
      </w:r>
    </w:p>
    <w:p w:rsidR="00E2620A" w:rsidRPr="008955B1" w:rsidRDefault="000633A0" w:rsidP="00E2620A">
      <w:pPr>
        <w:pStyle w:val="af4"/>
      </w:pPr>
      <w:bookmarkStart w:id="64" w:name="_Toc371600348"/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4359BAEF" wp14:editId="646543DB">
            <wp:simplePos x="0" y="0"/>
            <wp:positionH relativeFrom="margin">
              <wp:align>right</wp:align>
            </wp:positionH>
            <wp:positionV relativeFrom="paragraph">
              <wp:posOffset>431165</wp:posOffset>
            </wp:positionV>
            <wp:extent cx="5895975" cy="3200400"/>
            <wp:effectExtent l="0" t="0" r="0" b="0"/>
            <wp:wrapSquare wrapText="bothSides"/>
            <wp:docPr id="3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E2620A" w:rsidRPr="00212DDA">
        <w:t xml:space="preserve">Диаграмма </w:t>
      </w:r>
      <w:r w:rsidR="003F71B0">
        <w:t>10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консалтинговых услуг в сфере общего управления и администрирования в России в 2007 - 2012 гг., млрд. руб.</w:t>
      </w:r>
      <w:r w:rsidR="00E2620A" w:rsidRPr="00212DDA">
        <w:rPr>
          <w:noProof/>
        </w:rPr>
        <w:t xml:space="preserve"> и %</w:t>
      </w:r>
      <w:bookmarkEnd w:id="64"/>
      <w:r w:rsidR="00AC1B65">
        <w:rPr>
          <w:noProof/>
        </w:rPr>
        <w:t>.</w:t>
      </w:r>
    </w:p>
    <w:p w:rsidR="00606DAB" w:rsidRPr="00043129" w:rsidRDefault="00E2620A" w:rsidP="00043129">
      <w:pPr>
        <w:ind w:firstLine="567"/>
        <w:rPr>
          <w:rFonts w:asciiTheme="minorHAnsi" w:hAnsiTheme="minorHAnsi"/>
          <w:sz w:val="20"/>
          <w:szCs w:val="20"/>
        </w:rPr>
      </w:pPr>
      <w:r w:rsidRPr="000633A0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E2620A" w:rsidRPr="0075441B" w:rsidRDefault="00B24237" w:rsidP="003F71B0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lastRenderedPageBreak/>
        <w:t>Налоговый консалтинг</w:t>
      </w:r>
    </w:p>
    <w:p w:rsidR="00E2620A" w:rsidRPr="00BD2F8B" w:rsidRDefault="00BD2F8B" w:rsidP="00BD2F8B">
      <w:pPr>
        <w:pStyle w:val="af4"/>
        <w:rPr>
          <w:rStyle w:val="apple-converted-space"/>
        </w:rPr>
      </w:pPr>
      <w:bookmarkStart w:id="65" w:name="_Toc371600349"/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1BE90B04" wp14:editId="565865DA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5895975" cy="3200400"/>
            <wp:effectExtent l="0" t="0" r="0" b="0"/>
            <wp:wrapSquare wrapText="bothSides"/>
            <wp:docPr id="4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E2620A" w:rsidRPr="00212DDA">
        <w:t xml:space="preserve">Диаграмма </w:t>
      </w:r>
      <w:r w:rsidR="003F71B0">
        <w:t>11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налогового консалтинга в России в 2007 - 2012 гг., млрд. руб.</w:t>
      </w:r>
      <w:r w:rsidR="00E2620A" w:rsidRPr="00212DDA">
        <w:rPr>
          <w:noProof/>
        </w:rPr>
        <w:t xml:space="preserve"> и %</w:t>
      </w:r>
      <w:bookmarkEnd w:id="65"/>
      <w:r w:rsidR="00AC1B65">
        <w:rPr>
          <w:noProof/>
        </w:rPr>
        <w:t>.</w:t>
      </w:r>
    </w:p>
    <w:p w:rsidR="00E2620A" w:rsidRPr="00BD2F8B" w:rsidRDefault="00E2620A" w:rsidP="00BD2F8B">
      <w:pPr>
        <w:ind w:firstLine="567"/>
        <w:rPr>
          <w:rFonts w:asciiTheme="minorHAnsi" w:hAnsiTheme="minorHAnsi"/>
          <w:sz w:val="20"/>
          <w:szCs w:val="20"/>
        </w:rPr>
      </w:pPr>
      <w:r w:rsidRPr="00BD2F8B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043129" w:rsidRDefault="00043129" w:rsidP="00043129"/>
    <w:p w:rsidR="00E2620A" w:rsidRPr="0036037E" w:rsidRDefault="00E2620A" w:rsidP="0036037E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36037E">
        <w:rPr>
          <w:lang w:val="ru-RU"/>
        </w:rPr>
        <w:t>Юридический консалтинг</w:t>
      </w:r>
    </w:p>
    <w:p w:rsidR="00E2620A" w:rsidRPr="00540168" w:rsidRDefault="00684AA7" w:rsidP="00E2620A">
      <w:pPr>
        <w:pStyle w:val="af4"/>
      </w:pPr>
      <w:bookmarkStart w:id="66" w:name="_Toc371600350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8484E64" wp14:editId="28F3FEEA">
            <wp:simplePos x="0" y="0"/>
            <wp:positionH relativeFrom="margin">
              <wp:posOffset>144780</wp:posOffset>
            </wp:positionH>
            <wp:positionV relativeFrom="paragraph">
              <wp:posOffset>441325</wp:posOffset>
            </wp:positionV>
            <wp:extent cx="5791835" cy="2975610"/>
            <wp:effectExtent l="0" t="0" r="0" b="0"/>
            <wp:wrapSquare wrapText="bothSides"/>
            <wp:docPr id="48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0A" w:rsidRPr="00212DDA">
        <w:t>Д</w:t>
      </w:r>
      <w:r w:rsidR="00E2620A" w:rsidRPr="00540168">
        <w:t xml:space="preserve">иаграмма </w:t>
      </w:r>
      <w:r w:rsidR="0036037E" w:rsidRPr="00540168">
        <w:t>12</w:t>
      </w:r>
      <w:r w:rsidR="00E2620A" w:rsidRPr="00540168">
        <w:t>. Объем и темпы прироста рынка юридического консалтинга в России в 2007 - 2012 гг., млрд. руб. и %</w:t>
      </w:r>
      <w:bookmarkEnd w:id="66"/>
      <w:r w:rsidR="00AC1B65">
        <w:t>.</w:t>
      </w:r>
    </w:p>
    <w:p w:rsidR="00E2620A" w:rsidRDefault="00E2620A" w:rsidP="00684AA7">
      <w:pPr>
        <w:ind w:firstLine="567"/>
        <w:rPr>
          <w:rFonts w:asciiTheme="minorHAnsi" w:hAnsiTheme="minorHAnsi"/>
          <w:sz w:val="20"/>
          <w:szCs w:val="20"/>
        </w:rPr>
      </w:pPr>
      <w:r w:rsidRPr="00684AA7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140466" w:rsidRDefault="00140466" w:rsidP="00684AA7">
      <w:pPr>
        <w:ind w:firstLine="567"/>
        <w:rPr>
          <w:rFonts w:asciiTheme="minorHAnsi" w:hAnsiTheme="minorHAnsi"/>
          <w:sz w:val="20"/>
          <w:szCs w:val="20"/>
        </w:rPr>
      </w:pPr>
    </w:p>
    <w:p w:rsidR="00E2620A" w:rsidRPr="0075441B" w:rsidRDefault="00E2620A" w:rsidP="0036037E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lastRenderedPageBreak/>
        <w:t>Реструктуризация предприятий</w:t>
      </w:r>
    </w:p>
    <w:p w:rsidR="00E2620A" w:rsidRPr="008955B1" w:rsidRDefault="00810DD5" w:rsidP="00E2620A">
      <w:pPr>
        <w:pStyle w:val="af4"/>
      </w:pPr>
      <w:bookmarkStart w:id="67" w:name="_Toc371600351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3870D68" wp14:editId="5F1A23AC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895975" cy="3200400"/>
            <wp:effectExtent l="0" t="0" r="0" b="0"/>
            <wp:wrapSquare wrapText="bothSides"/>
            <wp:docPr id="5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E2620A" w:rsidRPr="00212DDA">
        <w:t xml:space="preserve">Диаграмма </w:t>
      </w:r>
      <w:r w:rsidR="0036037E">
        <w:t>13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консалтинга в сфере реструктуризации предприятий России в 2007 - 2012 гг., млрд. руб.</w:t>
      </w:r>
      <w:r w:rsidR="00E2620A" w:rsidRPr="00212DDA">
        <w:rPr>
          <w:noProof/>
        </w:rPr>
        <w:t xml:space="preserve"> и %</w:t>
      </w:r>
      <w:bookmarkEnd w:id="67"/>
      <w:r w:rsidR="00AC1B65">
        <w:rPr>
          <w:noProof/>
        </w:rPr>
        <w:t>.</w:t>
      </w:r>
    </w:p>
    <w:p w:rsidR="00E2620A" w:rsidRPr="00810DD5" w:rsidRDefault="00E2620A" w:rsidP="00810DD5">
      <w:pPr>
        <w:ind w:firstLine="567"/>
        <w:rPr>
          <w:rFonts w:asciiTheme="minorHAnsi" w:hAnsiTheme="minorHAnsi"/>
          <w:sz w:val="20"/>
          <w:szCs w:val="20"/>
        </w:rPr>
      </w:pPr>
      <w:r w:rsidRPr="00810DD5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E2620A" w:rsidRPr="0075441B" w:rsidRDefault="00E2620A" w:rsidP="0036037E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Управление персоналом</w:t>
      </w:r>
    </w:p>
    <w:p w:rsidR="00E2620A" w:rsidRPr="008955B1" w:rsidRDefault="005315C3" w:rsidP="00E2620A">
      <w:pPr>
        <w:pStyle w:val="af4"/>
      </w:pPr>
      <w:bookmarkStart w:id="68" w:name="_Toc371600352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D775F9" wp14:editId="4CD587EE">
            <wp:simplePos x="0" y="0"/>
            <wp:positionH relativeFrom="column">
              <wp:posOffset>-3810</wp:posOffset>
            </wp:positionH>
            <wp:positionV relativeFrom="paragraph">
              <wp:posOffset>610235</wp:posOffset>
            </wp:positionV>
            <wp:extent cx="5895975" cy="3200400"/>
            <wp:effectExtent l="0" t="0" r="0" b="0"/>
            <wp:wrapSquare wrapText="bothSides"/>
            <wp:docPr id="5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E2620A" w:rsidRPr="00212DDA">
        <w:t xml:space="preserve">Диаграмма </w:t>
      </w:r>
      <w:r w:rsidR="00D94FBC">
        <w:t>1</w:t>
      </w:r>
      <w:r w:rsidR="00E2620A">
        <w:t>4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консалтинга в сфере</w:t>
      </w:r>
      <w:r w:rsidR="00D94FBC">
        <w:rPr>
          <w:noProof/>
        </w:rPr>
        <w:t xml:space="preserve"> управления персоналом России в </w:t>
      </w:r>
      <w:r w:rsidR="00E2620A">
        <w:rPr>
          <w:noProof/>
        </w:rPr>
        <w:t>2007 - 2012 гг., млрд. руб.</w:t>
      </w:r>
      <w:r w:rsidR="00E2620A" w:rsidRPr="00212DDA">
        <w:rPr>
          <w:noProof/>
        </w:rPr>
        <w:t xml:space="preserve"> и %</w:t>
      </w:r>
      <w:bookmarkEnd w:id="68"/>
      <w:r w:rsidR="00AC1B65">
        <w:rPr>
          <w:noProof/>
        </w:rPr>
        <w:t>.</w:t>
      </w:r>
    </w:p>
    <w:p w:rsidR="00E2620A" w:rsidRPr="00B022A3" w:rsidRDefault="00E2620A" w:rsidP="00B022A3">
      <w:pPr>
        <w:ind w:firstLine="567"/>
        <w:rPr>
          <w:rFonts w:asciiTheme="minorHAnsi" w:hAnsiTheme="minorHAnsi"/>
          <w:sz w:val="20"/>
          <w:szCs w:val="20"/>
        </w:rPr>
      </w:pPr>
      <w:r w:rsidRPr="00E255F1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E2620A" w:rsidRPr="00D94FBC" w:rsidRDefault="00721502" w:rsidP="00D94FBC">
      <w:pPr>
        <w:pStyle w:val="III"/>
        <w:numPr>
          <w:ilvl w:val="0"/>
          <w:numId w:val="0"/>
        </w:numPr>
        <w:ind w:left="1069"/>
        <w:rPr>
          <w:lang w:val="ru-RU"/>
        </w:rPr>
      </w:pPr>
      <w:r>
        <w:rPr>
          <w:lang w:val="ru-RU"/>
        </w:rPr>
        <w:lastRenderedPageBreak/>
        <w:t>Производственный консалтинг</w:t>
      </w:r>
    </w:p>
    <w:p w:rsidR="00E2620A" w:rsidRPr="00043129" w:rsidRDefault="00043129" w:rsidP="00E2620A">
      <w:pPr>
        <w:tabs>
          <w:tab w:val="left" w:pos="975"/>
        </w:tabs>
      </w:pPr>
      <w:r w:rsidRPr="002403C2">
        <w:t>…</w:t>
      </w:r>
    </w:p>
    <w:p w:rsidR="00E2620A" w:rsidRPr="008955B1" w:rsidRDefault="00C215CF" w:rsidP="00E2620A">
      <w:pPr>
        <w:pStyle w:val="af4"/>
      </w:pPr>
      <w:bookmarkStart w:id="69" w:name="_Toc371600353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06B9D9" wp14:editId="10147D58">
            <wp:simplePos x="0" y="0"/>
            <wp:positionH relativeFrom="column">
              <wp:posOffset>-13335</wp:posOffset>
            </wp:positionH>
            <wp:positionV relativeFrom="paragraph">
              <wp:posOffset>414020</wp:posOffset>
            </wp:positionV>
            <wp:extent cx="5895975" cy="3200400"/>
            <wp:effectExtent l="0" t="0" r="0" b="0"/>
            <wp:wrapSquare wrapText="bothSides"/>
            <wp:docPr id="53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E2620A" w:rsidRPr="00212DDA">
        <w:t xml:space="preserve">Диаграмма </w:t>
      </w:r>
      <w:r w:rsidR="00D94FBC">
        <w:t>15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консалтинга в сфере производства товаров и услуг России в 2007 - 2012 гг., млрд. руб.</w:t>
      </w:r>
      <w:r w:rsidR="00E2620A" w:rsidRPr="00212DDA">
        <w:rPr>
          <w:noProof/>
        </w:rPr>
        <w:t xml:space="preserve"> и %</w:t>
      </w:r>
      <w:bookmarkEnd w:id="69"/>
      <w:r w:rsidR="00AC1B65">
        <w:rPr>
          <w:noProof/>
        </w:rPr>
        <w:t>.</w:t>
      </w:r>
    </w:p>
    <w:p w:rsidR="00E2620A" w:rsidRDefault="00E2620A" w:rsidP="00C215CF">
      <w:pPr>
        <w:ind w:firstLine="567"/>
        <w:rPr>
          <w:rFonts w:asciiTheme="minorHAnsi" w:hAnsiTheme="minorHAnsi"/>
          <w:sz w:val="20"/>
          <w:szCs w:val="20"/>
        </w:rPr>
      </w:pPr>
      <w:r w:rsidRPr="00C215CF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E2620A" w:rsidRPr="0075441B" w:rsidRDefault="00E2620A" w:rsidP="00D94FBC">
      <w:pPr>
        <w:pStyle w:val="III"/>
        <w:numPr>
          <w:ilvl w:val="0"/>
          <w:numId w:val="0"/>
        </w:numPr>
        <w:ind w:left="1069"/>
        <w:rPr>
          <w:lang w:val="ru-RU"/>
        </w:rPr>
      </w:pPr>
      <w:r w:rsidRPr="0075441B">
        <w:rPr>
          <w:lang w:val="ru-RU"/>
        </w:rPr>
        <w:t>Маркетинг</w:t>
      </w:r>
    </w:p>
    <w:p w:rsidR="00E2620A" w:rsidRPr="00D300B5" w:rsidRDefault="00D300B5" w:rsidP="00D300B5">
      <w:pPr>
        <w:pStyle w:val="af4"/>
        <w:rPr>
          <w:rStyle w:val="apple-converted-space"/>
        </w:rPr>
      </w:pPr>
      <w:bookmarkStart w:id="70" w:name="_Toc371600354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1D1460" wp14:editId="49A3A594">
            <wp:simplePos x="0" y="0"/>
            <wp:positionH relativeFrom="margin">
              <wp:posOffset>-1905</wp:posOffset>
            </wp:positionH>
            <wp:positionV relativeFrom="paragraph">
              <wp:posOffset>433070</wp:posOffset>
            </wp:positionV>
            <wp:extent cx="5895975" cy="3088005"/>
            <wp:effectExtent l="0" t="0" r="0" b="0"/>
            <wp:wrapSquare wrapText="bothSides"/>
            <wp:docPr id="5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0A" w:rsidRPr="00212DDA">
        <w:t xml:space="preserve">Диаграмма </w:t>
      </w:r>
      <w:r w:rsidR="00D94FBC">
        <w:t>16</w:t>
      </w:r>
      <w:r w:rsidR="00E2620A" w:rsidRPr="00212DDA">
        <w:rPr>
          <w:noProof/>
        </w:rPr>
        <w:t>. Объем и темпы прир</w:t>
      </w:r>
      <w:r w:rsidR="00E2620A">
        <w:rPr>
          <w:noProof/>
        </w:rPr>
        <w:t>оста рынка консалтинга в сфере маркетинга России в 2007 - 2012 гг., млрд. руб.</w:t>
      </w:r>
      <w:r w:rsidR="00E2620A" w:rsidRPr="00212DDA">
        <w:rPr>
          <w:noProof/>
        </w:rPr>
        <w:t xml:space="preserve"> и %</w:t>
      </w:r>
      <w:bookmarkEnd w:id="70"/>
      <w:r w:rsidR="00AC1B65">
        <w:rPr>
          <w:noProof/>
        </w:rPr>
        <w:t>.</w:t>
      </w:r>
    </w:p>
    <w:p w:rsidR="00D94FBC" w:rsidRPr="00A5745D" w:rsidRDefault="00E2620A" w:rsidP="00A5745D">
      <w:pPr>
        <w:ind w:firstLine="0"/>
        <w:rPr>
          <w:rFonts w:asciiTheme="minorHAnsi" w:hAnsiTheme="minorHAnsi"/>
          <w:sz w:val="20"/>
          <w:szCs w:val="20"/>
        </w:rPr>
      </w:pPr>
      <w:r w:rsidRPr="00D300B5">
        <w:rPr>
          <w:rFonts w:asciiTheme="minorHAnsi" w:hAnsiTheme="minorHAnsi"/>
          <w:sz w:val="20"/>
          <w:szCs w:val="20"/>
        </w:rPr>
        <w:t>*данные приведены на основе анализа доходов 75 крупнейших консалтинговых компаний России</w:t>
      </w:r>
    </w:p>
    <w:p w:rsidR="0086371E" w:rsidRDefault="0086371E" w:rsidP="00E2620A">
      <w:pPr>
        <w:pStyle w:val="I"/>
        <w:numPr>
          <w:ilvl w:val="0"/>
          <w:numId w:val="25"/>
        </w:numPr>
        <w:outlineLvl w:val="0"/>
      </w:pPr>
      <w:bookmarkStart w:id="71" w:name="_Toc362359828"/>
      <w:bookmarkStart w:id="72" w:name="_Toc371369036"/>
      <w:bookmarkStart w:id="73" w:name="_Toc371379989"/>
      <w:r>
        <w:lastRenderedPageBreak/>
        <w:t>Прогноз развития рынка</w:t>
      </w:r>
      <w:bookmarkEnd w:id="71"/>
      <w:bookmarkEnd w:id="72"/>
      <w:bookmarkEnd w:id="73"/>
    </w:p>
    <w:p w:rsidR="002D132D" w:rsidRPr="00721502" w:rsidRDefault="00E2620A" w:rsidP="00D9248D">
      <w:pPr>
        <w:tabs>
          <w:tab w:val="left" w:pos="975"/>
        </w:tabs>
        <w:contextualSpacing/>
        <w:rPr>
          <w:color w:val="000000"/>
          <w:szCs w:val="24"/>
          <w:shd w:val="clear" w:color="auto" w:fill="FFFFFF"/>
        </w:rPr>
      </w:pPr>
      <w:r w:rsidRPr="00285BCF">
        <w:rPr>
          <w:rFonts w:asciiTheme="minorHAnsi" w:hAnsiTheme="minorHAnsi"/>
          <w:szCs w:val="24"/>
        </w:rPr>
        <w:t>Рынок консалтинговых услуг в России емкий и разносторонний.</w:t>
      </w:r>
      <w:r w:rsidR="00C046D3" w:rsidRPr="00285BCF">
        <w:rPr>
          <w:rFonts w:asciiTheme="minorHAnsi" w:hAnsiTheme="minorHAnsi"/>
          <w:szCs w:val="24"/>
        </w:rPr>
        <w:t xml:space="preserve"> </w:t>
      </w:r>
      <w:r w:rsidRPr="00285BCF">
        <w:rPr>
          <w:rFonts w:asciiTheme="minorHAnsi" w:hAnsiTheme="minorHAnsi"/>
          <w:szCs w:val="24"/>
        </w:rPr>
        <w:t>Как показывает статистика, он находится в своем расцвете и стабильно развивается, причем довольно быстрыми темпами.</w:t>
      </w:r>
      <w:r w:rsidR="00C046D3" w:rsidRPr="00285BCF">
        <w:rPr>
          <w:rFonts w:asciiTheme="minorHAnsi" w:hAnsiTheme="minorHAnsi"/>
          <w:szCs w:val="24"/>
        </w:rPr>
        <w:t xml:space="preserve"> </w:t>
      </w:r>
      <w:r w:rsidRPr="00285BCF">
        <w:rPr>
          <w:rFonts w:asciiTheme="minorHAnsi" w:eastAsia="Times New Roman" w:hAnsiTheme="minorHAnsi"/>
          <w:szCs w:val="24"/>
        </w:rPr>
        <w:t>По отметкам экспертов, главный фактор нынешней динамики </w:t>
      </w:r>
      <w:r w:rsidRPr="00285BCF">
        <w:rPr>
          <w:rFonts w:asciiTheme="minorHAnsi" w:eastAsia="Times New Roman" w:hAnsiTheme="minorHAnsi"/>
          <w:bCs/>
          <w:szCs w:val="24"/>
        </w:rPr>
        <w:t>рынка консалтинга</w:t>
      </w:r>
      <w:r w:rsidRPr="00285BCF">
        <w:rPr>
          <w:rFonts w:asciiTheme="minorHAnsi" w:eastAsia="Times New Roman" w:hAnsiTheme="minorHAnsi"/>
          <w:szCs w:val="24"/>
        </w:rPr>
        <w:t> — посткризисное восстановление</w:t>
      </w:r>
      <w:r w:rsidRPr="002D132D">
        <w:rPr>
          <w:rFonts w:asciiTheme="minorHAnsi" w:eastAsia="Times New Roman" w:hAnsiTheme="minorHAnsi"/>
          <w:szCs w:val="24"/>
        </w:rPr>
        <w:t>. </w:t>
      </w:r>
      <w:r w:rsidR="002D132D" w:rsidRPr="002D132D">
        <w:rPr>
          <w:color w:val="000000"/>
          <w:szCs w:val="24"/>
          <w:shd w:val="clear" w:color="auto" w:fill="FFFFFF"/>
        </w:rPr>
        <w:t xml:space="preserve"> Способствует его развитию не только изменение экономической ситуации, но и приход на наш рынок иностранных компаний, что стимулирует конкуренцию и внедрение инновационных решений</w:t>
      </w:r>
      <w:r w:rsidR="002D132D" w:rsidRPr="00721502">
        <w:footnoteReference w:id="3"/>
      </w:r>
      <w:r w:rsidR="002D132D" w:rsidRPr="002D132D">
        <w:rPr>
          <w:color w:val="000000"/>
          <w:szCs w:val="24"/>
          <w:shd w:val="clear" w:color="auto" w:fill="FFFFFF"/>
        </w:rPr>
        <w:t>.</w:t>
      </w:r>
    </w:p>
    <w:p w:rsidR="00285BCF" w:rsidRPr="00721502" w:rsidRDefault="00E2620A" w:rsidP="00D9248D">
      <w:pPr>
        <w:tabs>
          <w:tab w:val="left" w:pos="975"/>
        </w:tabs>
        <w:contextualSpacing/>
        <w:rPr>
          <w:color w:val="000000"/>
          <w:szCs w:val="24"/>
          <w:shd w:val="clear" w:color="auto" w:fill="FFFFFF"/>
        </w:rPr>
      </w:pPr>
      <w:r w:rsidRPr="00721502">
        <w:rPr>
          <w:color w:val="000000"/>
          <w:szCs w:val="24"/>
          <w:shd w:val="clear" w:color="auto" w:fill="FFFFFF"/>
        </w:rPr>
        <w:t>Реальная ситуация в стране, изменения, происходящие в экономике, политике, социальной сфере диктуют адекватную реакцию со стороны консультантов. Поэтому основную тенденцию развития рынка в ближайшее время можно определить так: рынок будет развиваться по различным направлениям в зависимости от складывающихся потребностей экономики.</w:t>
      </w:r>
    </w:p>
    <w:p w:rsidR="00E2620A" w:rsidRDefault="00E2620A" w:rsidP="00E03CD2">
      <w:pPr>
        <w:tabs>
          <w:tab w:val="left" w:pos="975"/>
        </w:tabs>
        <w:contextualSpacing/>
        <w:rPr>
          <w:color w:val="000000"/>
          <w:szCs w:val="24"/>
          <w:shd w:val="clear" w:color="auto" w:fill="FFFFFF"/>
        </w:rPr>
      </w:pPr>
      <w:r w:rsidRPr="00721502">
        <w:rPr>
          <w:color w:val="000000"/>
          <w:szCs w:val="24"/>
          <w:shd w:val="clear" w:color="auto" w:fill="FFFFFF"/>
        </w:rPr>
        <w:t xml:space="preserve">Есть и другие точки зрения. </w:t>
      </w:r>
    </w:p>
    <w:p w:rsidR="00E03CD2" w:rsidRDefault="00E03CD2" w:rsidP="00E03CD2">
      <w:pPr>
        <w:tabs>
          <w:tab w:val="left" w:pos="975"/>
        </w:tabs>
        <w:contextualSpacing/>
        <w:rPr>
          <w:color w:val="000000"/>
          <w:szCs w:val="24"/>
          <w:shd w:val="clear" w:color="auto" w:fill="FFFFFF"/>
        </w:rPr>
      </w:pPr>
      <w:r>
        <w:rPr>
          <w:rFonts w:asciiTheme="minorHAnsi" w:hAnsiTheme="minorHAnsi"/>
        </w:rPr>
        <w:t>…</w:t>
      </w:r>
    </w:p>
    <w:p w:rsidR="00E03CD2" w:rsidRDefault="00E03CD2" w:rsidP="00E03CD2">
      <w:pPr>
        <w:tabs>
          <w:tab w:val="left" w:pos="975"/>
        </w:tabs>
        <w:contextualSpacing/>
        <w:rPr>
          <w:color w:val="000000"/>
          <w:szCs w:val="24"/>
          <w:shd w:val="clear" w:color="auto" w:fill="FFFFFF"/>
        </w:rPr>
      </w:pPr>
    </w:p>
    <w:p w:rsidR="00E03CD2" w:rsidRDefault="00E03CD2" w:rsidP="00E03CD2">
      <w:pPr>
        <w:tabs>
          <w:tab w:val="left" w:pos="975"/>
        </w:tabs>
        <w:contextualSpacing/>
        <w:rPr>
          <w:color w:val="000000"/>
          <w:szCs w:val="24"/>
          <w:shd w:val="clear" w:color="auto" w:fill="FFFFFF"/>
        </w:rPr>
      </w:pPr>
    </w:p>
    <w:p w:rsidR="00E03CD2" w:rsidRDefault="00E03CD2" w:rsidP="00E03CD2">
      <w:pPr>
        <w:tabs>
          <w:tab w:val="left" w:pos="975"/>
        </w:tabs>
        <w:contextualSpacing/>
        <w:sectPr w:rsidR="00E03CD2" w:rsidSect="0043113D">
          <w:footerReference w:type="default" r:id="rId33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86371E" w:rsidRDefault="0086371E" w:rsidP="007C0FA2">
      <w:pPr>
        <w:pStyle w:val="I"/>
        <w:outlineLvl w:val="0"/>
      </w:pPr>
      <w:bookmarkStart w:id="74" w:name="_Toc362359829"/>
      <w:bookmarkStart w:id="75" w:name="_Toc371369037"/>
      <w:bookmarkStart w:id="76" w:name="_Toc371379990"/>
      <w:r>
        <w:lastRenderedPageBreak/>
        <w:t>Приложение</w:t>
      </w:r>
      <w:bookmarkEnd w:id="74"/>
      <w:bookmarkEnd w:id="75"/>
      <w:bookmarkEnd w:id="76"/>
    </w:p>
    <w:p w:rsidR="00F2326C" w:rsidRPr="00392CC8" w:rsidRDefault="001A29A9" w:rsidP="00333138">
      <w:pPr>
        <w:pStyle w:val="afd"/>
      </w:pPr>
      <w:bookmarkStart w:id="77" w:name="_Toc371600320"/>
      <w:r>
        <w:t>Таблица</w:t>
      </w:r>
      <w:r w:rsidR="00BF000F">
        <w:rPr>
          <w:lang w:val="en-US"/>
        </w:rPr>
        <w:t xml:space="preserve"> 14</w:t>
      </w:r>
      <w:r>
        <w:t xml:space="preserve">. </w:t>
      </w:r>
      <w:r w:rsidR="00687A42">
        <w:t xml:space="preserve">Список </w:t>
      </w:r>
      <w:r w:rsidR="003633BA">
        <w:t>50 крупнейших консалтинговых групп в России по итогам 2012 года.</w:t>
      </w:r>
      <w:bookmarkEnd w:id="77"/>
    </w:p>
    <w:tbl>
      <w:tblPr>
        <w:tblStyle w:val="-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447"/>
        <w:gridCol w:w="1462"/>
        <w:gridCol w:w="1462"/>
        <w:gridCol w:w="1243"/>
        <w:gridCol w:w="992"/>
        <w:gridCol w:w="1287"/>
        <w:gridCol w:w="1237"/>
        <w:gridCol w:w="1074"/>
        <w:gridCol w:w="1074"/>
        <w:gridCol w:w="1301"/>
      </w:tblGrid>
      <w:tr w:rsidR="003D3CC8" w:rsidRPr="003633BA" w:rsidTr="00BF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  <w:hideMark/>
          </w:tcPr>
          <w:p w:rsidR="003D3CC8" w:rsidRPr="003633BA" w:rsidRDefault="003D3CC8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/>
                <w:bCs w:val="0"/>
                <w:sz w:val="20"/>
                <w:szCs w:val="20"/>
                <w:lang w:eastAsia="ru-RU"/>
              </w:rPr>
            </w:pPr>
            <w:r w:rsidRPr="003633B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4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  <w:hideMark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0"/>
                <w:szCs w:val="20"/>
                <w:lang w:eastAsia="ru-RU"/>
              </w:rPr>
            </w:pPr>
            <w:r w:rsidRPr="003633BA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Местоположение центрального офиса</w:t>
            </w:r>
          </w:p>
        </w:tc>
        <w:tc>
          <w:tcPr>
            <w:tcW w:w="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  <w:hideMark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0"/>
                <w:szCs w:val="20"/>
                <w:lang w:eastAsia="ru-RU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Суммарная выручка от консалтинговых услуг за 2012 год (тыс. руб.)*</w:t>
            </w:r>
          </w:p>
        </w:tc>
        <w:tc>
          <w:tcPr>
            <w:tcW w:w="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  <w:hideMark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sz w:val="20"/>
                <w:szCs w:val="20"/>
                <w:lang w:eastAsia="ru-RU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Суммарная выручка от консалтинговых услуг за 2011 год (тыс. руб.)</w:t>
            </w:r>
          </w:p>
        </w:tc>
        <w:tc>
          <w:tcPr>
            <w:tcW w:w="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Прирост выручки за год (%)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Число специалистов-консультантов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Изменение числа специалистов-консультантов за год (чел.)</w:t>
            </w:r>
          </w:p>
        </w:tc>
        <w:tc>
          <w:tcPr>
            <w:tcW w:w="4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Выручка на одного специалиста-консультанта (тыс. руб.)</w:t>
            </w:r>
          </w:p>
        </w:tc>
        <w:tc>
          <w:tcPr>
            <w:tcW w:w="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Число участников группы***</w:t>
            </w:r>
          </w:p>
        </w:tc>
        <w:tc>
          <w:tcPr>
            <w:tcW w:w="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Изменение числа участников группы за год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81BF"/>
            <w:vAlign w:val="center"/>
          </w:tcPr>
          <w:p w:rsidR="003D3CC8" w:rsidRPr="003633BA" w:rsidRDefault="003D3CC8" w:rsidP="00BF000F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Уровень доверия*****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34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IBS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35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ЛАНИТ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36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КРОК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37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PwC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38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Компьюлинк Групп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39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Интерком-Аудит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0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Ай-Теко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1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КПМГ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2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Энвижн Груп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3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ОТР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4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Энерджи Консалтинг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5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Группа Борлас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6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EPAM Systems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7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АйТи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8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BDO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49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ФинЭкспертиза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0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2К Аудит - Деловые консультации/Морисон интернешнл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1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НЦИТ "ИНТЕРТЕХ"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2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Развитие бизнес-систем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3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РСМ "Топ-Аудит"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4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Гориславцев и Ко. EuraAudit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5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ДЕЛОВОЙ ПРОФИЛЬ (MGI)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6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АЛЬЯНС КОНСАЛТИНГ ИНВЕСТМЕНТ ГРУПП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7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ФОРС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8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Нексиа Си Ай Эс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59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НЭО Центр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0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Парма-Телеком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Пермь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1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КСК групп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2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Инфосистемы Джет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3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Городской центр экспертиз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Санкт-Петербург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4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МЭФ-Аудит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5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Объединенные консультанты ФДП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6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SRG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7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РАСТАМ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Тюмень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8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АФК-Аудит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Санкт-Петербург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392CC8" w:rsidTr="00E03CD2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tabs>
                <w:tab w:val="left" w:pos="142"/>
                <w:tab w:val="left" w:pos="1725"/>
              </w:tabs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9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Корпорация "Галактика"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0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Новгородаудит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Великий Новгород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1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Аудит-НТ ("Аудит - новые технологии")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2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ФБК (PKF)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3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МЦФЭР-консалтинг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4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Институт проблем предпринимательства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Санкт-Петербург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5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АМБ Консалтинг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6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ЭКОПСИ Консалтинг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7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Аверс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Санкт-Петербург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8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Фемида-Аудит (DFK International)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9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Аудит Груп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80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Центр судебных и негосударственных экспертиз "ИНДЕКС"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81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Арт-Аудит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82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Неофлекс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  <w:tr w:rsidR="00E03CD2" w:rsidRPr="005131C4" w:rsidTr="00E03CD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  <w:shd w:val="clear" w:color="auto" w:fill="auto"/>
            <w:vAlign w:val="center"/>
            <w:hideMark/>
          </w:tcPr>
          <w:p w:rsidR="00E03CD2" w:rsidRPr="003633BA" w:rsidRDefault="00BA4D84" w:rsidP="00BF000F">
            <w:pPr>
              <w:spacing w:after="0" w:line="240" w:lineRule="auto"/>
              <w:ind w:firstLine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83" w:tgtFrame="blank" w:history="1">
              <w:r w:rsidR="00E03CD2" w:rsidRPr="003633BA">
                <w:rPr>
                  <w:rFonts w:asciiTheme="minorHAnsi" w:eastAsia="Times New Roman" w:hAnsiTheme="minorHAnsi" w:cs="Tahoma"/>
                  <w:sz w:val="20"/>
                  <w:szCs w:val="20"/>
                </w:rPr>
                <w:t>EXECT ("Бизнес Тренинг")</w:t>
              </w:r>
            </w:hyperlink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03CD2" w:rsidRPr="003633BA" w:rsidRDefault="00E03CD2" w:rsidP="00BF000F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3633BA">
              <w:rPr>
                <w:rFonts w:asciiTheme="minorHAnsi" w:eastAsia="Times New Roman" w:hAnsiTheme="minorHAnsi" w:cs="Tahoma"/>
                <w:sz w:val="20"/>
                <w:szCs w:val="20"/>
              </w:rPr>
              <w:t>Москва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03CD2" w:rsidRDefault="00E03CD2" w:rsidP="00BF000F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287">
              <w:rPr>
                <w:rFonts w:asciiTheme="minorHAnsi" w:hAnsiTheme="minorHAnsi"/>
              </w:rPr>
              <w:t>…</w:t>
            </w:r>
          </w:p>
        </w:tc>
      </w:tr>
    </w:tbl>
    <w:p w:rsidR="003633BA" w:rsidRPr="00E03CD2" w:rsidRDefault="00F2326C" w:rsidP="00E03CD2">
      <w:pPr>
        <w:pStyle w:val="DRG1"/>
      </w:pPr>
      <w:r w:rsidRPr="00F8117C">
        <w:t>Источник:</w:t>
      </w:r>
      <w:r w:rsidR="003633BA">
        <w:t xml:space="preserve"> Эксперт РА</w:t>
      </w:r>
    </w:p>
    <w:p w:rsidR="0044558F" w:rsidRPr="003633BA" w:rsidRDefault="003633BA" w:rsidP="003633BA">
      <w:pPr>
        <w:spacing w:line="240" w:lineRule="auto"/>
        <w:contextualSpacing/>
        <w:rPr>
          <w:rFonts w:asciiTheme="minorHAnsi" w:eastAsia="Times New Roman" w:hAnsiTheme="minorHAnsi" w:cs="Tahoma"/>
          <w:color w:val="000000"/>
          <w:sz w:val="20"/>
          <w:szCs w:val="20"/>
        </w:rPr>
      </w:pPr>
      <w:r w:rsidRPr="003633BA">
        <w:rPr>
          <w:rFonts w:asciiTheme="minorHAnsi" w:eastAsia="Times New Roman" w:hAnsiTheme="minorHAnsi" w:cs="Tahoma"/>
          <w:color w:val="000000"/>
          <w:sz w:val="20"/>
          <w:szCs w:val="20"/>
        </w:rPr>
        <w:t>*Суммарная выручка от консалтинговой деятельности по всей группе.</w:t>
      </w:r>
    </w:p>
    <w:p w:rsidR="003633BA" w:rsidRPr="003633BA" w:rsidRDefault="003633BA" w:rsidP="003633BA">
      <w:pPr>
        <w:spacing w:line="240" w:lineRule="auto"/>
        <w:contextualSpacing/>
        <w:rPr>
          <w:rFonts w:asciiTheme="minorHAnsi" w:eastAsia="Times New Roman" w:hAnsiTheme="minorHAnsi" w:cs="Tahoma"/>
          <w:color w:val="000000"/>
          <w:sz w:val="20"/>
          <w:szCs w:val="20"/>
        </w:rPr>
      </w:pPr>
      <w:r w:rsidRPr="003633BA">
        <w:rPr>
          <w:rFonts w:asciiTheme="minorHAnsi" w:eastAsia="Times New Roman" w:hAnsiTheme="minorHAnsi" w:cs="Tahoma"/>
          <w:color w:val="000000"/>
          <w:sz w:val="20"/>
          <w:szCs w:val="20"/>
        </w:rPr>
        <w:t>**Перерасчет показателей выручки из долларов в рубли по средневзвешенному курсу за 2012 год по данным ЦБ РФ (1$ = 31,07 руб.).</w:t>
      </w:r>
    </w:p>
    <w:p w:rsidR="003633BA" w:rsidRPr="003633BA" w:rsidRDefault="003633BA" w:rsidP="003633BA">
      <w:pPr>
        <w:spacing w:line="240" w:lineRule="auto"/>
        <w:contextualSpacing/>
        <w:rPr>
          <w:rFonts w:asciiTheme="minorHAnsi" w:eastAsia="Times New Roman" w:hAnsiTheme="minorHAnsi" w:cs="Tahoma"/>
          <w:color w:val="000000"/>
          <w:sz w:val="20"/>
          <w:szCs w:val="20"/>
        </w:rPr>
      </w:pPr>
      <w:r w:rsidRPr="003633BA">
        <w:rPr>
          <w:rFonts w:asciiTheme="minorHAnsi" w:eastAsia="Times New Roman" w:hAnsiTheme="minorHAnsi" w:cs="Tahoma"/>
          <w:color w:val="000000"/>
          <w:sz w:val="20"/>
          <w:szCs w:val="20"/>
        </w:rPr>
        <w:t>*** Число участников группы с учетом материнской и дочерних компании, филиалов, представительств, аффилированных лиц, а также партнерских компаний.</w:t>
      </w:r>
    </w:p>
    <w:p w:rsidR="003633BA" w:rsidRPr="003633BA" w:rsidRDefault="003633BA" w:rsidP="003633BA">
      <w:pPr>
        <w:spacing w:line="240" w:lineRule="auto"/>
        <w:contextualSpacing/>
        <w:rPr>
          <w:rFonts w:asciiTheme="minorHAnsi" w:eastAsia="Times New Roman" w:hAnsiTheme="minorHAnsi" w:cs="Tahoma"/>
          <w:color w:val="000000"/>
          <w:sz w:val="20"/>
          <w:szCs w:val="20"/>
        </w:rPr>
      </w:pPr>
      <w:r w:rsidRPr="003633BA">
        <w:rPr>
          <w:rFonts w:asciiTheme="minorHAnsi" w:eastAsia="Times New Roman" w:hAnsiTheme="minorHAnsi" w:cs="Tahoma"/>
          <w:color w:val="000000"/>
          <w:sz w:val="20"/>
          <w:szCs w:val="20"/>
        </w:rPr>
        <w:t>**** Число участников группы, в том числе с учетом партнерских компаний.</w:t>
      </w:r>
    </w:p>
    <w:p w:rsidR="0044558F" w:rsidRPr="003633BA" w:rsidRDefault="003633BA" w:rsidP="003633BA">
      <w:pP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3633BA">
        <w:rPr>
          <w:rFonts w:asciiTheme="minorHAnsi" w:eastAsia="Times New Roman" w:hAnsiTheme="minorHAnsi" w:cs="Tahoma"/>
          <w:color w:val="000000"/>
          <w:sz w:val="20"/>
          <w:szCs w:val="20"/>
        </w:rPr>
        <w:t>***** Уровень доверия к сведениям, предоставленным для участия в рэнкинге, присваивается в зависимости от присланных участником материалов, подтверждающих выручку: максимальный уровень (I) - если компания предоставила бухгалтерскую отчетность по итогам 2012 года, высокий (II) - отчетность по итогам 2011 года, средний (III) - в анкете приведены примеры крупнейших клиентов, удовлетворительный (IV) - предоставлен только заверенный бланк подтверждения основных сведений</w:t>
      </w:r>
      <w:r w:rsidRPr="003633BA">
        <w:rPr>
          <w:rFonts w:asciiTheme="minorHAnsi" w:hAnsiTheme="minorHAnsi"/>
          <w:sz w:val="20"/>
          <w:szCs w:val="20"/>
        </w:rPr>
        <w:t>.</w:t>
      </w:r>
    </w:p>
    <w:p w:rsidR="0044558F" w:rsidRDefault="0044558F" w:rsidP="00F2326C"/>
    <w:p w:rsidR="0044558F" w:rsidRDefault="0044558F" w:rsidP="003633BA">
      <w:pPr>
        <w:ind w:firstLine="0"/>
        <w:sectPr w:rsidR="0044558F" w:rsidSect="0043113D">
          <w:headerReference w:type="default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418" w:right="1333" w:bottom="850" w:left="1134" w:header="709" w:footer="624" w:gutter="0"/>
          <w:cols w:space="708"/>
          <w:titlePg/>
          <w:docGrid w:linePitch="360"/>
        </w:sectPr>
      </w:pPr>
    </w:p>
    <w:p w:rsidR="00554709" w:rsidRPr="00D03490" w:rsidRDefault="00BA4D84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w:lastRenderedPageBreak/>
        <w:pict>
          <v:rect id="Прямоугольник 30" o:spid="_x0000_s1031" style="position:absolute;left:0;text-align:left;margin-left:-88.3pt;margin-top:-67.45pt;width:28.95pt;height:992.1pt;rotation:18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39" o:spid="_x0000_s1030" style="position:absolute;left:0;text-align:left;margin-left:483.5pt;margin-top:-121.25pt;width:28.95pt;height:992.1pt;rotation:18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29" o:spid="_x0000_s1029" style="position:absolute;left:0;text-align:left;margin-left:178.1pt;margin-top:-372.15pt;width:29pt;height:637.8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</w:pic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125448, Москва, ул. 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BA4D84" w:rsidP="00D03490">
      <w:pPr>
        <w:rPr>
          <w:lang w:val="en-US"/>
        </w:rPr>
      </w:pPr>
      <w:r>
        <w:rPr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90"/>
      <w:footerReference w:type="first" r:id="rId91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0F" w:rsidRDefault="00B5670F" w:rsidP="009C2C5D">
      <w:pPr>
        <w:spacing w:after="0" w:line="240" w:lineRule="auto"/>
      </w:pPr>
      <w:r>
        <w:separator/>
      </w:r>
    </w:p>
  </w:endnote>
  <w:endnote w:type="continuationSeparator" w:id="0">
    <w:p w:rsidR="00B5670F" w:rsidRDefault="00B5670F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8C74BB" w:rsidTr="006D257D">
      <w:trPr>
        <w:jc w:val="right"/>
      </w:trPr>
      <w:tc>
        <w:tcPr>
          <w:tcW w:w="8294" w:type="dxa"/>
          <w:vAlign w:val="center"/>
        </w:tcPr>
        <w:p w:rsidR="008C74BB" w:rsidRDefault="008C74BB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A4D84"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64" type="#_x0000_t202" style="position:absolute;left:0;text-align:left;margin-left:106.45pt;margin-top:1.85pt;width:302.95pt;height:77.4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>
                  <w:txbxContent>
                    <w:p w:rsidR="008C74BB" w:rsidRPr="00347C4C" w:rsidRDefault="008C74B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125438, Москва, ул. Михалковская 63б, стр. 2, 2 этаж</w:t>
                      </w:r>
                    </w:p>
                    <w:p w:rsidR="008C74BB" w:rsidRPr="00347C4C" w:rsidRDefault="008C74B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8C74BB" w:rsidRPr="00347C4C" w:rsidRDefault="00BA4D84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8C74BB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8C74BB" w:rsidRPr="00650DD6" w:rsidRDefault="008C74BB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8C74BB" w:rsidRDefault="008C74BB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4D84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74BB" w:rsidRDefault="00BA4D84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2063" style="position:absolute;left:0;text-align:left;margin-left:-103.2pt;margin-top:-26.35pt;width:589.1pt;height:87.9pt;z-index:2517258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7"/>
      <w:gridCol w:w="1379"/>
    </w:tblGrid>
    <w:tr w:rsidR="008C74BB" w:rsidTr="006D257D">
      <w:trPr>
        <w:jc w:val="right"/>
      </w:trPr>
      <w:tc>
        <w:tcPr>
          <w:tcW w:w="8293" w:type="dxa"/>
          <w:vAlign w:val="center"/>
        </w:tcPr>
        <w:p w:rsidR="008C74BB" w:rsidRDefault="008C74BB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22BF22C1" wp14:editId="19A51C22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A4D84"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left:0;text-align:left;margin-left:106.45pt;margin-top:1.85pt;width:302.95pt;height:77.4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QqhgIAABc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" stroked="f">
                <v:textbox style="mso-next-textbox:#_x0000_s2058">
                  <w:txbxContent>
                    <w:p w:rsidR="008C74BB" w:rsidRPr="00347C4C" w:rsidRDefault="008C74B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125438, Москва, ул. Михалковская 63б, стр. 2, 2 этаж</w:t>
                      </w:r>
                    </w:p>
                    <w:p w:rsidR="008C74BB" w:rsidRPr="00347C4C" w:rsidRDefault="008C74BB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8C74BB" w:rsidRPr="00347C4C" w:rsidRDefault="00BA4D84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8C74BB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="008C74BB"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8C74BB" w:rsidRPr="00650DD6" w:rsidRDefault="008C74BB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6" w:type="dxa"/>
          <w:shd w:val="clear" w:color="auto" w:fill="0F81BF"/>
          <w:vAlign w:val="center"/>
        </w:tcPr>
        <w:p w:rsidR="008C74BB" w:rsidRDefault="008C74BB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4D84">
            <w:rPr>
              <w:noProof/>
              <w:color w:val="FFFFFF" w:themeColor="background1"/>
            </w:rPr>
            <w:t>21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74BB" w:rsidRDefault="00BA4D84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9" o:spid="_x0000_s2057" style="position:absolute;left:0;text-align:left;margin-left:-103.2pt;margin-top:-26.35pt;width:589.1pt;height:87.9pt;z-index:2517575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" filled="f" strokecolor="#0f81bf" strokeweight="1pt">
          <v:stroke joinstyle="miter"/>
        </v:round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634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03"/>
    </w:tblGrid>
    <w:tr w:rsidR="008C74BB" w:rsidTr="0043113D">
      <w:tc>
        <w:tcPr>
          <w:tcW w:w="1184" w:type="dxa"/>
          <w:shd w:val="clear" w:color="auto" w:fill="0F81BF"/>
          <w:vAlign w:val="center"/>
        </w:tcPr>
        <w:p w:rsidR="008C74BB" w:rsidRDefault="008C74BB" w:rsidP="0044558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4D84">
            <w:rPr>
              <w:noProof/>
              <w:color w:val="FFFFFF" w:themeColor="background1"/>
            </w:rPr>
            <w:t>29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74BB" w:rsidRDefault="00BA4D84" w:rsidP="0044558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09.55pt;margin-top:-25.7pt;width:356.35pt;height:102.2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PL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" stroked="f">
          <v:textbox>
            <w:txbxContent>
              <w:p w:rsidR="008C74BB" w:rsidRPr="00347C4C" w:rsidRDefault="008C74BB" w:rsidP="0044558F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125438, Москва, ул. Михалковская 63б, стр. 2, 2 этаж</w:t>
                </w:r>
              </w:p>
              <w:p w:rsidR="008C74BB" w:rsidRPr="00347C4C" w:rsidRDefault="008C74BB" w:rsidP="0044558F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8C74BB" w:rsidRPr="00347C4C" w:rsidRDefault="00BA4D84" w:rsidP="0044558F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8C74BB"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8C74BB" w:rsidRPr="00650DD6" w:rsidRDefault="008C74BB" w:rsidP="0044558F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="008C74BB" w:rsidRPr="00CB79D4">
      <w:rPr>
        <w:noProof/>
        <w:lang w:eastAsia="ru-RU"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308344</wp:posOffset>
          </wp:positionH>
          <wp:positionV relativeFrom="paragraph">
            <wp:posOffset>-222013</wp:posOffset>
          </wp:positionV>
          <wp:extent cx="2114550" cy="4660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roundrect id="Скругленный прямоугольник 41" o:spid="_x0000_s2054" style="position:absolute;left:0;text-align:left;margin-left:-81.8pt;margin-top:-26.7pt;width:839.7pt;height:114.7pt;z-index:2517504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634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03"/>
    </w:tblGrid>
    <w:tr w:rsidR="008C74BB" w:rsidTr="00F2326C">
      <w:tc>
        <w:tcPr>
          <w:tcW w:w="1184" w:type="dxa"/>
          <w:shd w:val="clear" w:color="auto" w:fill="0F81BF"/>
          <w:vAlign w:val="center"/>
        </w:tcPr>
        <w:p w:rsidR="008C74BB" w:rsidRDefault="008C74BB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4D84">
            <w:rPr>
              <w:noProof/>
              <w:color w:val="FFFFFF" w:themeColor="background1"/>
            </w:rPr>
            <w:t>26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74BB" w:rsidRDefault="00BA4D84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9.55pt;margin-top:-25.7pt;width:356.35pt;height:102.2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SX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" stroked="f">
          <v:textbox>
            <w:txbxContent>
              <w:p w:rsidR="008C74BB" w:rsidRPr="00347C4C" w:rsidRDefault="008C74B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125438, Москва, ул. Михалковская 63б, стр. 2, 2 этаж</w:t>
                </w:r>
              </w:p>
              <w:p w:rsidR="008C74BB" w:rsidRPr="00347C4C" w:rsidRDefault="008C74B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8C74BB" w:rsidRPr="00347C4C" w:rsidRDefault="00BA4D84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8C74BB"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8C74BB" w:rsidRPr="00650DD6" w:rsidRDefault="008C74BB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="008C74BB" w:rsidRPr="00CB79D4">
      <w:rPr>
        <w:noProof/>
        <w:lang w:eastAsia="ru-RU"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column">
            <wp:posOffset>308344</wp:posOffset>
          </wp:positionH>
          <wp:positionV relativeFrom="paragraph">
            <wp:posOffset>-222013</wp:posOffset>
          </wp:positionV>
          <wp:extent cx="2114550" cy="46609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roundrect id="Скругленный прямоугольник 60" o:spid="_x0000_s2051" style="position:absolute;left:0;text-align:left;margin-left:-81.8pt;margin-top:-26.7pt;width:839.7pt;height:114.7pt;z-index:2517360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" filled="f" strokecolor="#0f81bf" strokeweight="1pt">
          <v:stroke joinstyle="miter"/>
        </v:round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8C74BB" w:rsidTr="00CB79D4">
      <w:tc>
        <w:tcPr>
          <w:tcW w:w="1184" w:type="dxa"/>
          <w:shd w:val="clear" w:color="auto" w:fill="0F81BF"/>
          <w:vAlign w:val="center"/>
        </w:tcPr>
        <w:p w:rsidR="008C74BB" w:rsidRDefault="008C74BB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A4D84">
            <w:rPr>
              <w:noProof/>
              <w:color w:val="FFFFFF" w:themeColor="background1"/>
            </w:rPr>
            <w:t>30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74BB" w:rsidRDefault="00BA4D84">
    <w:pPr>
      <w:pStyle w:val="a6"/>
    </w:pPr>
    <w:r>
      <w:rPr>
        <w:noProof/>
        <w:lang w:eastAsia="ru-RU"/>
      </w:rPr>
      <w:pict>
        <v:roundrect id="Скругленный прямоугольник 67" o:spid="_x0000_s2050" style="position:absolute;left:0;text-align:left;margin-left:-81.8pt;margin-top:-26.7pt;width:839.7pt;height:114.7pt;z-index:2517401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.1pt;width:425pt;height:102.2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sphwIAABk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AP&#10;imsphwIAABkFAAAOAAAAAAAAAAAAAAAAAC4CAABkcnMvZTJvRG9jLnhtbFBLAQItABQABgAIAAAA&#10;IQAGW4XL3AAAAAkBAAAPAAAAAAAAAAAAAAAAAOEEAABkcnMvZG93bnJldi54bWxQSwUGAAAAAAQA&#10;BADzAAAA6gUAAAAA&#10;" stroked="f">
          <v:textbox>
            <w:txbxContent>
              <w:p w:rsidR="008C74BB" w:rsidRPr="00347C4C" w:rsidRDefault="008C74B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125438, Москва, ул. Михалковская 63б, стр. 2, 2 этаж</w:t>
                </w:r>
              </w:p>
              <w:p w:rsidR="008C74BB" w:rsidRPr="00347C4C" w:rsidRDefault="008C74BB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8C74BB" w:rsidRPr="00347C4C" w:rsidRDefault="00BA4D84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8C74BB"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="008C74BB"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8C74BB" w:rsidRPr="00650DD6" w:rsidRDefault="008C74BB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="008C74BB"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0F" w:rsidRDefault="00B5670F" w:rsidP="009C2C5D">
      <w:pPr>
        <w:spacing w:after="0" w:line="240" w:lineRule="auto"/>
      </w:pPr>
      <w:r>
        <w:separator/>
      </w:r>
    </w:p>
  </w:footnote>
  <w:footnote w:type="continuationSeparator" w:id="0">
    <w:p w:rsidR="00B5670F" w:rsidRDefault="00B5670F" w:rsidP="009C2C5D">
      <w:pPr>
        <w:spacing w:after="0" w:line="240" w:lineRule="auto"/>
      </w:pPr>
      <w:r>
        <w:continuationSeparator/>
      </w:r>
    </w:p>
  </w:footnote>
  <w:footnote w:id="1">
    <w:p w:rsidR="008C74BB" w:rsidRPr="002C4836" w:rsidRDefault="008C74BB" w:rsidP="00F144FD">
      <w:pPr>
        <w:pStyle w:val="af9"/>
        <w:spacing w:line="360" w:lineRule="auto"/>
        <w:rPr>
          <w:rFonts w:ascii="Times New Roman" w:hAnsi="Times New Roman"/>
        </w:rPr>
      </w:pPr>
      <w:r w:rsidRPr="008F399A">
        <w:rPr>
          <w:rStyle w:val="afb"/>
          <w:rFonts w:asciiTheme="minorHAnsi" w:hAnsiTheme="minorHAnsi"/>
        </w:rPr>
        <w:footnoteRef/>
      </w:r>
      <w:r w:rsidRPr="008F399A">
        <w:rPr>
          <w:rFonts w:asciiTheme="minorHAnsi" w:hAnsiTheme="minorHAnsi"/>
        </w:rPr>
        <w:t xml:space="preserve"> Счет в пользу крупных//Коммерсант-Деньги, №15 (923), 22.04.2013 г.</w:t>
      </w:r>
    </w:p>
  </w:footnote>
  <w:footnote w:id="2">
    <w:p w:rsidR="008C74BB" w:rsidRPr="008F399A" w:rsidRDefault="008C74BB" w:rsidP="00897DB2">
      <w:pPr>
        <w:pStyle w:val="af9"/>
        <w:spacing w:line="360" w:lineRule="auto"/>
        <w:rPr>
          <w:rFonts w:asciiTheme="minorHAnsi" w:hAnsiTheme="minorHAnsi"/>
        </w:rPr>
      </w:pPr>
      <w:r w:rsidRPr="008F399A">
        <w:rPr>
          <w:rStyle w:val="afb"/>
          <w:rFonts w:asciiTheme="minorHAnsi" w:hAnsiTheme="minorHAnsi"/>
        </w:rPr>
        <w:footnoteRef/>
      </w:r>
      <w:r w:rsidRPr="008F399A">
        <w:rPr>
          <w:rFonts w:asciiTheme="minorHAnsi" w:hAnsiTheme="minorHAnsi"/>
        </w:rPr>
        <w:t xml:space="preserve"> Снова в строю//Эксперт, №15 (798), 16.04.2012 г.</w:t>
      </w:r>
    </w:p>
  </w:footnote>
  <w:footnote w:id="3">
    <w:p w:rsidR="008C74BB" w:rsidRPr="002D132D" w:rsidRDefault="008C74BB">
      <w:pPr>
        <w:pStyle w:val="af9"/>
      </w:pPr>
      <w:r>
        <w:rPr>
          <w:rStyle w:val="afb"/>
        </w:rPr>
        <w:footnoteRef/>
      </w:r>
      <w:r>
        <w:t xml:space="preserve"> Укрупнение – явный тренд/</w:t>
      </w:r>
      <w:r>
        <w:rPr>
          <w:lang w:val="en-US"/>
        </w:rPr>
        <w:t>IKS</w:t>
      </w:r>
      <w:r w:rsidRPr="002D132D">
        <w:t xml:space="preserve">, </w:t>
      </w:r>
      <w:r>
        <w:t>№7-8, 15.07.2012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Default="00BA4D84" w:rsidP="007D5FA2">
    <w:pPr>
      <w:pStyle w:val="a8"/>
      <w:jc w:val="both"/>
    </w:pPr>
    <w:r>
      <w:pict>
        <v:line id="Прямая соединительная линия 42" o:spid="_x0000_s2065" style="position:absolute;left:0;text-align:left;flip:y;z-index:251723776;visibility:visible;mso-position-horizontal:center;mso-position-horizontal-relative:margin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<v:stroke joinstyle="miter"/>
          <w10:wrap anchorx="margin"/>
        </v:line>
      </w:pic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74BB">
          <w:t>Рынок консалтинговых услуг в России в 2013 г.</w:t>
        </w:r>
      </w:sdtContent>
    </w:sdt>
    <w:r w:rsidR="008C74B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Default="008C74BB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Default="008C74B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Default="008C74B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Pr="00945781" w:rsidRDefault="00BA4D84" w:rsidP="0044558F">
    <w:pPr>
      <w:pStyle w:val="a4"/>
      <w:rPr>
        <w:sz w:val="28"/>
      </w:rPr>
    </w:pPr>
    <w:r>
      <w:rPr>
        <w:noProof/>
        <w:lang w:eastAsia="ru-RU"/>
      </w:rPr>
      <w:pict>
        <v:line id="Прямая соединительная линия 21" o:spid="_x0000_s2056" style="position:absolute;left:0;text-align:left;flip:y;z-index:251746304;visibility:visible;mso-position-horizontal-relative:margin;mso-position-vertical-relative:margin;mso-width-relative:margin;mso-height-relative:margin" from="0,-14.95pt" to="10in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" strokecolor="#0f81bf" strokeweight="1.5pt">
          <v:stroke joinstyle="miter"/>
          <w10:wrap type="square" anchorx="margin" anchory="margin"/>
        </v:line>
      </w:pict>
    </w:r>
    <w:sdt>
      <w:sdtPr>
        <w:alias w:val="Название"/>
        <w:tag w:val=""/>
        <w:id w:val="21399104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74BB">
          <w:t>Рынок консалтинговых услуг в России в 2013 г.</w:t>
        </w:r>
      </w:sdtContent>
    </w:sdt>
    <w:r w:rsidR="008C74BB" w:rsidRPr="00103B06">
      <w:rPr>
        <w:sz w:val="22"/>
      </w:rPr>
      <w:tab/>
    </w:r>
    <w:r w:rsidR="008C74BB" w:rsidRPr="00103B06">
      <w:rPr>
        <w:sz w:val="22"/>
      </w:rPr>
      <w:tab/>
    </w:r>
    <w:r w:rsidR="008C74BB" w:rsidRPr="00103B06">
      <w:rPr>
        <w:sz w:val="22"/>
      </w:rPr>
      <w:tab/>
    </w:r>
    <w:r w:rsidR="008C74BB" w:rsidRPr="00103B06">
      <w:rPr>
        <w:sz w:val="22"/>
      </w:rPr>
      <w:tab/>
    </w:r>
    <w:r w:rsidR="008C74BB">
      <w:rPr>
        <w:sz w:val="22"/>
      </w:rPr>
      <w:tab/>
    </w:r>
    <w:r w:rsidR="008C74BB">
      <w:t>Альбомная разметка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Pr="00945781" w:rsidRDefault="00BA4D84">
    <w:pPr>
      <w:pStyle w:val="a4"/>
      <w:rPr>
        <w:sz w:val="28"/>
      </w:rPr>
    </w:pPr>
    <w:r>
      <w:rPr>
        <w:noProof/>
        <w:lang w:eastAsia="ru-RU"/>
      </w:rPr>
      <w:pict>
        <v:line id="Прямая соединительная линия 82" o:spid="_x0000_s2053" style="position:absolute;left:0;text-align:left;flip:y;z-index:251742208;visibility:visible;mso-position-horizontal:left;mso-position-horizontal-relative:margin;mso-position-vertical-relative:margin;mso-width-relative:margin;mso-height-relative:margin" from="0,-6.05pt" to="10in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" strokecolor="#0f81bf" strokeweight="1.5pt">
          <v:stroke joinstyle="miter"/>
          <w10:wrap type="square" anchorx="margin" anchory="margin"/>
        </v:line>
      </w:pict>
    </w:r>
    <w:sdt>
      <w:sdtPr>
        <w:alias w:val="Название"/>
        <w:tag w:val=""/>
        <w:id w:val="16462384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74BB">
          <w:t>Рынок консалтинговых услуг в России в 2013 г.</w:t>
        </w:r>
      </w:sdtContent>
    </w:sdt>
    <w:r w:rsidR="008C74BB" w:rsidRPr="00103B06">
      <w:rPr>
        <w:sz w:val="22"/>
      </w:rPr>
      <w:tab/>
    </w:r>
    <w:r w:rsidR="008C74BB" w:rsidRPr="00103B06">
      <w:rPr>
        <w:sz w:val="22"/>
      </w:rPr>
      <w:tab/>
    </w:r>
    <w:r w:rsidR="008C74BB" w:rsidRPr="00103B06">
      <w:rPr>
        <w:sz w:val="22"/>
      </w:rPr>
      <w:tab/>
    </w:r>
    <w:r w:rsidR="008C74BB" w:rsidRPr="00103B06">
      <w:rPr>
        <w:sz w:val="22"/>
      </w:rPr>
      <w:tab/>
    </w:r>
    <w:r w:rsidR="008C74BB">
      <w:rPr>
        <w:sz w:val="22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Pr="00CB79D4" w:rsidRDefault="008C74BB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8C7"/>
    <w:multiLevelType w:val="multilevel"/>
    <w:tmpl w:val="7C6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2B1"/>
    <w:multiLevelType w:val="multilevel"/>
    <w:tmpl w:val="82E6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3297"/>
    <w:multiLevelType w:val="multilevel"/>
    <w:tmpl w:val="138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8545D2"/>
    <w:multiLevelType w:val="hybridMultilevel"/>
    <w:tmpl w:val="23DAA418"/>
    <w:lvl w:ilvl="0" w:tplc="DE3C5362">
      <w:start w:val="1"/>
      <w:numFmt w:val="decimal"/>
      <w:pStyle w:val="III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B83873"/>
    <w:multiLevelType w:val="multilevel"/>
    <w:tmpl w:val="B2EC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A027D"/>
    <w:multiLevelType w:val="multilevel"/>
    <w:tmpl w:val="B1D0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02DB9"/>
    <w:multiLevelType w:val="hybridMultilevel"/>
    <w:tmpl w:val="303844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534"/>
    <w:multiLevelType w:val="hybridMultilevel"/>
    <w:tmpl w:val="3656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40CB9"/>
    <w:multiLevelType w:val="multilevel"/>
    <w:tmpl w:val="8E6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E5438"/>
    <w:multiLevelType w:val="multilevel"/>
    <w:tmpl w:val="5532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E0701B"/>
    <w:multiLevelType w:val="multilevel"/>
    <w:tmpl w:val="0E9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80363"/>
    <w:multiLevelType w:val="multilevel"/>
    <w:tmpl w:val="2B3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A150E"/>
    <w:multiLevelType w:val="hybridMultilevel"/>
    <w:tmpl w:val="4016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E7DE1"/>
    <w:multiLevelType w:val="multilevel"/>
    <w:tmpl w:val="CFB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9718D"/>
    <w:multiLevelType w:val="multilevel"/>
    <w:tmpl w:val="177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D1F8E"/>
    <w:multiLevelType w:val="multilevel"/>
    <w:tmpl w:val="587C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73218"/>
    <w:multiLevelType w:val="hybridMultilevel"/>
    <w:tmpl w:val="1276C0DE"/>
    <w:lvl w:ilvl="0" w:tplc="DEBA46C8">
      <w:start w:val="1"/>
      <w:numFmt w:val="bullet"/>
      <w:lvlText w:val=""/>
      <w:lvlJc w:val="left"/>
      <w:pPr>
        <w:tabs>
          <w:tab w:val="num" w:pos="2323"/>
        </w:tabs>
        <w:ind w:left="2158" w:hanging="7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5">
    <w:nsid w:val="7816321A"/>
    <w:multiLevelType w:val="hybridMultilevel"/>
    <w:tmpl w:val="A9F462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71BB0"/>
    <w:multiLevelType w:val="hybridMultilevel"/>
    <w:tmpl w:val="11542326"/>
    <w:lvl w:ilvl="0" w:tplc="9F620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3"/>
  </w:num>
  <w:num w:numId="5">
    <w:abstractNumId w:val="28"/>
  </w:num>
  <w:num w:numId="6">
    <w:abstractNumId w:val="2"/>
  </w:num>
  <w:num w:numId="7">
    <w:abstractNumId w:val="6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30"/>
  </w:num>
  <w:num w:numId="11">
    <w:abstractNumId w:val="36"/>
  </w:num>
  <w:num w:numId="12">
    <w:abstractNumId w:val="13"/>
  </w:num>
  <w:num w:numId="13">
    <w:abstractNumId w:val="7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4"/>
  </w:num>
  <w:num w:numId="17">
    <w:abstractNumId w:val="17"/>
  </w:num>
  <w:num w:numId="18">
    <w:abstractNumId w:val="24"/>
  </w:num>
  <w:num w:numId="19">
    <w:abstractNumId w:val="38"/>
  </w:num>
  <w:num w:numId="20">
    <w:abstractNumId w:val="9"/>
  </w:num>
  <w:num w:numId="21">
    <w:abstractNumId w:val="27"/>
  </w:num>
  <w:num w:numId="22">
    <w:abstractNumId w:val="8"/>
  </w:num>
  <w:num w:numId="23">
    <w:abstractNumId w:val="3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6"/>
  </w:num>
  <w:num w:numId="27">
    <w:abstractNumId w:val="21"/>
  </w:num>
  <w:num w:numId="28">
    <w:abstractNumId w:val="33"/>
  </w:num>
  <w:num w:numId="29">
    <w:abstractNumId w:val="0"/>
  </w:num>
  <w:num w:numId="30">
    <w:abstractNumId w:val="23"/>
  </w:num>
  <w:num w:numId="31">
    <w:abstractNumId w:val="25"/>
  </w:num>
  <w:num w:numId="32">
    <w:abstractNumId w:val="19"/>
  </w:num>
  <w:num w:numId="33">
    <w:abstractNumId w:val="29"/>
  </w:num>
  <w:num w:numId="34">
    <w:abstractNumId w:val="14"/>
  </w:num>
  <w:num w:numId="35">
    <w:abstractNumId w:val="11"/>
  </w:num>
  <w:num w:numId="36">
    <w:abstractNumId w:val="37"/>
  </w:num>
  <w:num w:numId="37">
    <w:abstractNumId w:val="32"/>
  </w:num>
  <w:num w:numId="38">
    <w:abstractNumId w:val="1"/>
  </w:num>
  <w:num w:numId="39">
    <w:abstractNumId w:val="5"/>
  </w:num>
  <w:num w:numId="40">
    <w:abstractNumId w:val="16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1461"/>
    <w:rsid w:val="00025549"/>
    <w:rsid w:val="00040942"/>
    <w:rsid w:val="00043129"/>
    <w:rsid w:val="00043950"/>
    <w:rsid w:val="00050807"/>
    <w:rsid w:val="000633A0"/>
    <w:rsid w:val="00071233"/>
    <w:rsid w:val="00084E3F"/>
    <w:rsid w:val="0008779E"/>
    <w:rsid w:val="000A1A46"/>
    <w:rsid w:val="000A31C0"/>
    <w:rsid w:val="000C6A90"/>
    <w:rsid w:val="0010255C"/>
    <w:rsid w:val="00103B06"/>
    <w:rsid w:val="00104047"/>
    <w:rsid w:val="001108E4"/>
    <w:rsid w:val="00140466"/>
    <w:rsid w:val="001412C5"/>
    <w:rsid w:val="0014336B"/>
    <w:rsid w:val="00152C4D"/>
    <w:rsid w:val="001548A6"/>
    <w:rsid w:val="00166A3F"/>
    <w:rsid w:val="00172386"/>
    <w:rsid w:val="0017372B"/>
    <w:rsid w:val="00181417"/>
    <w:rsid w:val="00186BDE"/>
    <w:rsid w:val="001A19F0"/>
    <w:rsid w:val="001A29A9"/>
    <w:rsid w:val="001C342E"/>
    <w:rsid w:val="001D767D"/>
    <w:rsid w:val="001E091B"/>
    <w:rsid w:val="001E6077"/>
    <w:rsid w:val="001F6308"/>
    <w:rsid w:val="00216222"/>
    <w:rsid w:val="00217BFC"/>
    <w:rsid w:val="0022282B"/>
    <w:rsid w:val="00227121"/>
    <w:rsid w:val="002403C2"/>
    <w:rsid w:val="0024077B"/>
    <w:rsid w:val="00285BCF"/>
    <w:rsid w:val="002C0FEE"/>
    <w:rsid w:val="002C2FBE"/>
    <w:rsid w:val="002C766A"/>
    <w:rsid w:val="002D132D"/>
    <w:rsid w:val="002E7FB3"/>
    <w:rsid w:val="002F4E7B"/>
    <w:rsid w:val="00322726"/>
    <w:rsid w:val="003230CF"/>
    <w:rsid w:val="00333138"/>
    <w:rsid w:val="003400A4"/>
    <w:rsid w:val="00347C4C"/>
    <w:rsid w:val="00353D2D"/>
    <w:rsid w:val="0036037E"/>
    <w:rsid w:val="003633BA"/>
    <w:rsid w:val="00383389"/>
    <w:rsid w:val="00384F2D"/>
    <w:rsid w:val="00392BC2"/>
    <w:rsid w:val="00392CC8"/>
    <w:rsid w:val="003944F5"/>
    <w:rsid w:val="003A4DC9"/>
    <w:rsid w:val="003B3482"/>
    <w:rsid w:val="003B4951"/>
    <w:rsid w:val="003B67A8"/>
    <w:rsid w:val="003C2241"/>
    <w:rsid w:val="003D3CC8"/>
    <w:rsid w:val="003D723A"/>
    <w:rsid w:val="003F388D"/>
    <w:rsid w:val="003F71B0"/>
    <w:rsid w:val="00411B42"/>
    <w:rsid w:val="004278C5"/>
    <w:rsid w:val="0043113D"/>
    <w:rsid w:val="004320DA"/>
    <w:rsid w:val="0044558F"/>
    <w:rsid w:val="004456FD"/>
    <w:rsid w:val="004608E2"/>
    <w:rsid w:val="004B1D40"/>
    <w:rsid w:val="004D63CF"/>
    <w:rsid w:val="00514169"/>
    <w:rsid w:val="005147F6"/>
    <w:rsid w:val="005176F9"/>
    <w:rsid w:val="0053049F"/>
    <w:rsid w:val="0053101E"/>
    <w:rsid w:val="005315C3"/>
    <w:rsid w:val="00540168"/>
    <w:rsid w:val="00554709"/>
    <w:rsid w:val="00564EA8"/>
    <w:rsid w:val="005651AF"/>
    <w:rsid w:val="005B62EC"/>
    <w:rsid w:val="005C68B0"/>
    <w:rsid w:val="005D6E2A"/>
    <w:rsid w:val="005E792F"/>
    <w:rsid w:val="00600E3C"/>
    <w:rsid w:val="00606DAB"/>
    <w:rsid w:val="006126E7"/>
    <w:rsid w:val="0062085D"/>
    <w:rsid w:val="00626625"/>
    <w:rsid w:val="00630D6E"/>
    <w:rsid w:val="006472F3"/>
    <w:rsid w:val="00650DD6"/>
    <w:rsid w:val="00660734"/>
    <w:rsid w:val="00675D99"/>
    <w:rsid w:val="006804A6"/>
    <w:rsid w:val="00684AA7"/>
    <w:rsid w:val="00685054"/>
    <w:rsid w:val="00687A42"/>
    <w:rsid w:val="006B4A00"/>
    <w:rsid w:val="006C14FF"/>
    <w:rsid w:val="006D0C00"/>
    <w:rsid w:val="006D2533"/>
    <w:rsid w:val="006D257D"/>
    <w:rsid w:val="006F4978"/>
    <w:rsid w:val="00707B4F"/>
    <w:rsid w:val="00714C0D"/>
    <w:rsid w:val="00721502"/>
    <w:rsid w:val="0075441B"/>
    <w:rsid w:val="007673CE"/>
    <w:rsid w:val="007706DC"/>
    <w:rsid w:val="00773311"/>
    <w:rsid w:val="00775931"/>
    <w:rsid w:val="00781383"/>
    <w:rsid w:val="00786038"/>
    <w:rsid w:val="007A27AB"/>
    <w:rsid w:val="007C0FA2"/>
    <w:rsid w:val="007D006A"/>
    <w:rsid w:val="007D5FA2"/>
    <w:rsid w:val="007F4320"/>
    <w:rsid w:val="0080330D"/>
    <w:rsid w:val="00810DD5"/>
    <w:rsid w:val="008152DA"/>
    <w:rsid w:val="00821AE1"/>
    <w:rsid w:val="0082589D"/>
    <w:rsid w:val="00833EE5"/>
    <w:rsid w:val="0084510F"/>
    <w:rsid w:val="00855A7E"/>
    <w:rsid w:val="0086371E"/>
    <w:rsid w:val="00865D2C"/>
    <w:rsid w:val="0087216E"/>
    <w:rsid w:val="0087436D"/>
    <w:rsid w:val="00880C01"/>
    <w:rsid w:val="00897DB2"/>
    <w:rsid w:val="008B5C00"/>
    <w:rsid w:val="008C74BB"/>
    <w:rsid w:val="008D3A86"/>
    <w:rsid w:val="008F399A"/>
    <w:rsid w:val="00906DC6"/>
    <w:rsid w:val="00916F39"/>
    <w:rsid w:val="00917210"/>
    <w:rsid w:val="00944185"/>
    <w:rsid w:val="009454AA"/>
    <w:rsid w:val="00945781"/>
    <w:rsid w:val="009545F8"/>
    <w:rsid w:val="009634DC"/>
    <w:rsid w:val="00964177"/>
    <w:rsid w:val="009726AF"/>
    <w:rsid w:val="00976696"/>
    <w:rsid w:val="00984BCD"/>
    <w:rsid w:val="00992E49"/>
    <w:rsid w:val="009C2C5D"/>
    <w:rsid w:val="009C7BF7"/>
    <w:rsid w:val="009E7C37"/>
    <w:rsid w:val="009F0C80"/>
    <w:rsid w:val="009F1A8E"/>
    <w:rsid w:val="00A02BAC"/>
    <w:rsid w:val="00A10885"/>
    <w:rsid w:val="00A11D40"/>
    <w:rsid w:val="00A147C6"/>
    <w:rsid w:val="00A261BC"/>
    <w:rsid w:val="00A30072"/>
    <w:rsid w:val="00A5745D"/>
    <w:rsid w:val="00A60BB4"/>
    <w:rsid w:val="00A67C31"/>
    <w:rsid w:val="00A85F8B"/>
    <w:rsid w:val="00AA1E6E"/>
    <w:rsid w:val="00AC1B65"/>
    <w:rsid w:val="00AC77AA"/>
    <w:rsid w:val="00AF1A24"/>
    <w:rsid w:val="00B022A3"/>
    <w:rsid w:val="00B0504D"/>
    <w:rsid w:val="00B20A3E"/>
    <w:rsid w:val="00B24237"/>
    <w:rsid w:val="00B3103F"/>
    <w:rsid w:val="00B32555"/>
    <w:rsid w:val="00B5670F"/>
    <w:rsid w:val="00B76C91"/>
    <w:rsid w:val="00B821CD"/>
    <w:rsid w:val="00B86594"/>
    <w:rsid w:val="00B92882"/>
    <w:rsid w:val="00BA2E56"/>
    <w:rsid w:val="00BA2F25"/>
    <w:rsid w:val="00BA4D84"/>
    <w:rsid w:val="00BA75BC"/>
    <w:rsid w:val="00BB2FD1"/>
    <w:rsid w:val="00BB7053"/>
    <w:rsid w:val="00BD04BA"/>
    <w:rsid w:val="00BD2F8B"/>
    <w:rsid w:val="00BE1C21"/>
    <w:rsid w:val="00BF000F"/>
    <w:rsid w:val="00BF1EA1"/>
    <w:rsid w:val="00C046D3"/>
    <w:rsid w:val="00C215CF"/>
    <w:rsid w:val="00C3368B"/>
    <w:rsid w:val="00C35D01"/>
    <w:rsid w:val="00C43CD5"/>
    <w:rsid w:val="00C5347B"/>
    <w:rsid w:val="00C90F22"/>
    <w:rsid w:val="00CB79D4"/>
    <w:rsid w:val="00CC7CAB"/>
    <w:rsid w:val="00CD0125"/>
    <w:rsid w:val="00CF43DD"/>
    <w:rsid w:val="00D03490"/>
    <w:rsid w:val="00D2448A"/>
    <w:rsid w:val="00D300B5"/>
    <w:rsid w:val="00D31E78"/>
    <w:rsid w:val="00D3275B"/>
    <w:rsid w:val="00D604D3"/>
    <w:rsid w:val="00D65A65"/>
    <w:rsid w:val="00D71996"/>
    <w:rsid w:val="00D85E84"/>
    <w:rsid w:val="00D9248D"/>
    <w:rsid w:val="00D94C15"/>
    <w:rsid w:val="00D94FBC"/>
    <w:rsid w:val="00DA0D6E"/>
    <w:rsid w:val="00DB7561"/>
    <w:rsid w:val="00DC2B8B"/>
    <w:rsid w:val="00DD5D06"/>
    <w:rsid w:val="00DE0263"/>
    <w:rsid w:val="00DE0667"/>
    <w:rsid w:val="00DE5601"/>
    <w:rsid w:val="00DF1123"/>
    <w:rsid w:val="00DF5966"/>
    <w:rsid w:val="00E03CD2"/>
    <w:rsid w:val="00E0538A"/>
    <w:rsid w:val="00E06340"/>
    <w:rsid w:val="00E156AC"/>
    <w:rsid w:val="00E255F1"/>
    <w:rsid w:val="00E2620A"/>
    <w:rsid w:val="00E43E76"/>
    <w:rsid w:val="00E60477"/>
    <w:rsid w:val="00E61596"/>
    <w:rsid w:val="00E71F55"/>
    <w:rsid w:val="00E7288D"/>
    <w:rsid w:val="00E732F0"/>
    <w:rsid w:val="00E824C2"/>
    <w:rsid w:val="00E96381"/>
    <w:rsid w:val="00EA09AD"/>
    <w:rsid w:val="00EA1D48"/>
    <w:rsid w:val="00EA2852"/>
    <w:rsid w:val="00EB04FB"/>
    <w:rsid w:val="00EB07DD"/>
    <w:rsid w:val="00ED40CB"/>
    <w:rsid w:val="00EE4D16"/>
    <w:rsid w:val="00EF36E0"/>
    <w:rsid w:val="00EF6A2D"/>
    <w:rsid w:val="00F02DC5"/>
    <w:rsid w:val="00F05913"/>
    <w:rsid w:val="00F134EC"/>
    <w:rsid w:val="00F144FD"/>
    <w:rsid w:val="00F14D4D"/>
    <w:rsid w:val="00F157FB"/>
    <w:rsid w:val="00F2326C"/>
    <w:rsid w:val="00F249BA"/>
    <w:rsid w:val="00F27339"/>
    <w:rsid w:val="00F47BF8"/>
    <w:rsid w:val="00F64343"/>
    <w:rsid w:val="00F67406"/>
    <w:rsid w:val="00F90338"/>
    <w:rsid w:val="00FC05C6"/>
    <w:rsid w:val="00FD054D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1"/>
    <o:shapelayout v:ext="edit">
      <o:idmap v:ext="edit" data="1"/>
    </o:shapelayout>
  </w:shapeDefaults>
  <w:decimalSymbol w:val=","/>
  <w:listSeparator w:val=";"/>
  <w15:docId w15:val="{C1BAAD5E-325B-4C96-807B-C7CAD165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A147C6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A147C6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9E7C37"/>
    <w:pPr>
      <w:numPr>
        <w:numId w:val="25"/>
      </w:numPr>
      <w:jc w:val="left"/>
    </w:pPr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9E7C37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540168"/>
  </w:style>
  <w:style w:type="character" w:customStyle="1" w:styleId="afe">
    <w:name w:val="Название таблиц Знак"/>
    <w:basedOn w:val="af5"/>
    <w:link w:val="afd"/>
    <w:rsid w:val="00540168"/>
    <w:rPr>
      <w:rFonts w:eastAsia="Calibri" w:cs="Times New Roman"/>
      <w:b/>
      <w:bCs/>
      <w:color w:val="0F81BF"/>
      <w:sz w:val="20"/>
      <w:szCs w:val="20"/>
    </w:rPr>
  </w:style>
  <w:style w:type="character" w:customStyle="1" w:styleId="apple-converted-space">
    <w:name w:val="apple-converted-space"/>
    <w:basedOn w:val="a0"/>
    <w:rsid w:val="00F64343"/>
  </w:style>
  <w:style w:type="paragraph" w:styleId="aff">
    <w:name w:val="Normal (Web)"/>
    <w:basedOn w:val="a"/>
    <w:uiPriority w:val="99"/>
    <w:unhideWhenUsed/>
    <w:rsid w:val="00392B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2">
    <w:name w:val="Стиль1"/>
    <w:basedOn w:val="a"/>
    <w:rsid w:val="00392BC2"/>
    <w:pPr>
      <w:spacing w:after="0"/>
      <w:ind w:firstLine="72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0">
    <w:name w:val="Emphasis"/>
    <w:basedOn w:val="a0"/>
    <w:uiPriority w:val="20"/>
    <w:qFormat/>
    <w:rsid w:val="00392BC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9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7DB2"/>
    <w:rPr>
      <w:rFonts w:ascii="Courier New" w:eastAsia="Times New Roman" w:hAnsi="Courier New" w:cs="Times New Roman"/>
      <w:sz w:val="20"/>
      <w:szCs w:val="20"/>
    </w:rPr>
  </w:style>
  <w:style w:type="character" w:styleId="aff1">
    <w:name w:val="Strong"/>
    <w:uiPriority w:val="22"/>
    <w:qFormat/>
    <w:rsid w:val="00E2620A"/>
    <w:rPr>
      <w:b/>
      <w:bCs/>
    </w:rPr>
  </w:style>
  <w:style w:type="character" w:styleId="HTML1">
    <w:name w:val="HTML Typewriter"/>
    <w:basedOn w:val="a0"/>
    <w:uiPriority w:val="99"/>
    <w:semiHidden/>
    <w:unhideWhenUsed/>
    <w:rsid w:val="002D13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9.xml"/><Relationship Id="rId21" Type="http://schemas.openxmlformats.org/officeDocument/2006/relationships/chart" Target="charts/chart4.xml"/><Relationship Id="rId42" Type="http://schemas.openxmlformats.org/officeDocument/2006/relationships/hyperlink" Target="http://www.raexpert.ru/database/companies/envizhn_grup" TargetMode="External"/><Relationship Id="rId47" Type="http://schemas.openxmlformats.org/officeDocument/2006/relationships/hyperlink" Target="http://www.raexpert.ru/database/companies/aiti" TargetMode="External"/><Relationship Id="rId63" Type="http://schemas.openxmlformats.org/officeDocument/2006/relationships/hyperlink" Target="http://www.raexpert.ru/database/companies/gorodskoi_tsentr_ekspertiz" TargetMode="External"/><Relationship Id="rId68" Type="http://schemas.openxmlformats.org/officeDocument/2006/relationships/hyperlink" Target="http://www.raexpert.ru/database/companies/afk_audit" TargetMode="External"/><Relationship Id="rId84" Type="http://schemas.openxmlformats.org/officeDocument/2006/relationships/header" Target="header5.xml"/><Relationship Id="rId89" Type="http://schemas.openxmlformats.org/officeDocument/2006/relationships/image" Target="media/image5.gif"/><Relationship Id="rId16" Type="http://schemas.openxmlformats.org/officeDocument/2006/relationships/chart" Target="charts/chart2.xml"/><Relationship Id="rId11" Type="http://schemas.openxmlformats.org/officeDocument/2006/relationships/footer" Target="footer1.xml"/><Relationship Id="rId32" Type="http://schemas.openxmlformats.org/officeDocument/2006/relationships/chart" Target="charts/chart15.xml"/><Relationship Id="rId37" Type="http://schemas.openxmlformats.org/officeDocument/2006/relationships/hyperlink" Target="http://www.raexpert.ru/database/companies/price_waterhouse_coopers" TargetMode="External"/><Relationship Id="rId53" Type="http://schemas.openxmlformats.org/officeDocument/2006/relationships/hyperlink" Target="http://www.raexpert.ru/database/companies/rsm_top-_audit" TargetMode="External"/><Relationship Id="rId58" Type="http://schemas.openxmlformats.org/officeDocument/2006/relationships/hyperlink" Target="http://www.raexpert.ru/database/companies/neksia_cis" TargetMode="External"/><Relationship Id="rId74" Type="http://schemas.openxmlformats.org/officeDocument/2006/relationships/hyperlink" Target="http://www.raexpert.ru/database/companies/institut_problem_predprinimatelstva" TargetMode="External"/><Relationship Id="rId79" Type="http://schemas.openxmlformats.org/officeDocument/2006/relationships/hyperlink" Target="http://www.raexpert.ru/database/companies/audit_grup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7.xm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43" Type="http://schemas.openxmlformats.org/officeDocument/2006/relationships/hyperlink" Target="http://www.raexpert.ru/database/companies/organizatsionno-tehnologicheskie_resheniya-2000" TargetMode="External"/><Relationship Id="rId48" Type="http://schemas.openxmlformats.org/officeDocument/2006/relationships/hyperlink" Target="http://www.raexpert.ru/database/companies/bdo_unikon" TargetMode="External"/><Relationship Id="rId64" Type="http://schemas.openxmlformats.org/officeDocument/2006/relationships/hyperlink" Target="http://www.raexpert.ru/database/companies/mef-au" TargetMode="External"/><Relationship Id="rId69" Type="http://schemas.openxmlformats.org/officeDocument/2006/relationships/hyperlink" Target="http://www.raexpert.ru/database/companies/korporatsiya_galaktik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raexpert.ru/database/companies/interteh" TargetMode="External"/><Relationship Id="rId72" Type="http://schemas.openxmlformats.org/officeDocument/2006/relationships/hyperlink" Target="http://www.raexpert.ru/database/companies/fbk_pkf" TargetMode="External"/><Relationship Id="rId80" Type="http://schemas.openxmlformats.org/officeDocument/2006/relationships/hyperlink" Target="http://www.raexpert.ru/database/companies/buro_nezavisimyh_ekspertiz_indeks" TargetMode="External"/><Relationship Id="rId85" Type="http://schemas.openxmlformats.org/officeDocument/2006/relationships/footer" Target="footer3.xml"/><Relationship Id="rId93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ru.wikipedia.org/wiki/Deloitte_Touche_Tohmatsu" TargetMode="External"/><Relationship Id="rId25" Type="http://schemas.openxmlformats.org/officeDocument/2006/relationships/chart" Target="charts/chart8.xml"/><Relationship Id="rId33" Type="http://schemas.openxmlformats.org/officeDocument/2006/relationships/footer" Target="footer2.xml"/><Relationship Id="rId38" Type="http://schemas.openxmlformats.org/officeDocument/2006/relationships/hyperlink" Target="http://www.raexpert.ru/database/companies/kompulink" TargetMode="External"/><Relationship Id="rId46" Type="http://schemas.openxmlformats.org/officeDocument/2006/relationships/hyperlink" Target="http://www.raexpert.ru/database/companies/epam_systems" TargetMode="External"/><Relationship Id="rId59" Type="http://schemas.openxmlformats.org/officeDocument/2006/relationships/hyperlink" Target="http://www.raexpert.ru/database/companies/neo_tsentr" TargetMode="External"/><Relationship Id="rId67" Type="http://schemas.openxmlformats.org/officeDocument/2006/relationships/hyperlink" Target="http://www.raexpert.ru/database/companies/rastam" TargetMode="External"/><Relationship Id="rId20" Type="http://schemas.openxmlformats.org/officeDocument/2006/relationships/chart" Target="charts/chart3.xml"/><Relationship Id="rId41" Type="http://schemas.openxmlformats.org/officeDocument/2006/relationships/hyperlink" Target="http://www.raexpert.ru/database/companies/kpmg" TargetMode="External"/><Relationship Id="rId54" Type="http://schemas.openxmlformats.org/officeDocument/2006/relationships/hyperlink" Target="http://www.raexpert.ru/database/companies/gorislavtsev_i_k._audit" TargetMode="External"/><Relationship Id="rId62" Type="http://schemas.openxmlformats.org/officeDocument/2006/relationships/hyperlink" Target="http://www.raexpert.ru/database/companies/infosystem_jet" TargetMode="External"/><Relationship Id="rId70" Type="http://schemas.openxmlformats.org/officeDocument/2006/relationships/hyperlink" Target="http://www.raexpert.ru/database/companies/novgorodaudit" TargetMode="External"/><Relationship Id="rId75" Type="http://schemas.openxmlformats.org/officeDocument/2006/relationships/hyperlink" Target="http://www.raexpert.ru/database/companies/amb_consulting" TargetMode="External"/><Relationship Id="rId83" Type="http://schemas.openxmlformats.org/officeDocument/2006/relationships/hyperlink" Target="http://www.raexpert.ru/database/companies/business_training" TargetMode="External"/><Relationship Id="rId88" Type="http://schemas.openxmlformats.org/officeDocument/2006/relationships/image" Target="media/image4.gif"/><Relationship Id="rId9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hyperlink" Target="http://www.raexpert.ru/database/companies/krok_inkorporeited" TargetMode="External"/><Relationship Id="rId49" Type="http://schemas.openxmlformats.org/officeDocument/2006/relationships/hyperlink" Target="http://www.raexpert.ru/database/companies/finekspertiza" TargetMode="External"/><Relationship Id="rId57" Type="http://schemas.openxmlformats.org/officeDocument/2006/relationships/hyperlink" Target="http://www.raexpert.ru/database/companies/fors-holding" TargetMode="External"/><Relationship Id="rId10" Type="http://schemas.openxmlformats.org/officeDocument/2006/relationships/header" Target="header1.xml"/><Relationship Id="rId31" Type="http://schemas.openxmlformats.org/officeDocument/2006/relationships/chart" Target="charts/chart14.xml"/><Relationship Id="rId44" Type="http://schemas.openxmlformats.org/officeDocument/2006/relationships/hyperlink" Target="http://www.raexpert.ru/database/companies/enerdzhi_konsalting" TargetMode="External"/><Relationship Id="rId52" Type="http://schemas.openxmlformats.org/officeDocument/2006/relationships/hyperlink" Target="http://www.raexpert.ru/database/companies/razvitie_biznes-_sistem" TargetMode="External"/><Relationship Id="rId60" Type="http://schemas.openxmlformats.org/officeDocument/2006/relationships/hyperlink" Target="http://www.raexpert.ru/database/companies/parma_telecom" TargetMode="External"/><Relationship Id="rId65" Type="http://schemas.openxmlformats.org/officeDocument/2006/relationships/hyperlink" Target="http://www.raexpert.ru/database/companies/obedinennye_konsultanty_fdp" TargetMode="External"/><Relationship Id="rId73" Type="http://schemas.openxmlformats.org/officeDocument/2006/relationships/hyperlink" Target="http://www.raexpert.ru/database/companies/mtsfer-konsalting" TargetMode="External"/><Relationship Id="rId78" Type="http://schemas.openxmlformats.org/officeDocument/2006/relationships/hyperlink" Target="http://www.raexpert.ru/database/companies/femida-audit_dfk_international" TargetMode="External"/><Relationship Id="rId81" Type="http://schemas.openxmlformats.org/officeDocument/2006/relationships/hyperlink" Target="http://www.raexpert.ru/database/companies/art-audit__grupp" TargetMode="External"/><Relationship Id="rId86" Type="http://schemas.openxmlformats.org/officeDocument/2006/relationships/header" Target="header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ru.wikipedia.org/wiki/Ernst_%26_Young" TargetMode="External"/><Relationship Id="rId39" Type="http://schemas.openxmlformats.org/officeDocument/2006/relationships/hyperlink" Target="http://www.raexpert.ru/database/companies/bkr-interkom-_audit" TargetMode="External"/><Relationship Id="rId34" Type="http://schemas.openxmlformats.org/officeDocument/2006/relationships/hyperlink" Target="http://www.raexpert.ru/database/companies/ibs" TargetMode="External"/><Relationship Id="rId50" Type="http://schemas.openxmlformats.org/officeDocument/2006/relationships/hyperlink" Target="http://www.raexpert.ru/database/companies/2k_audit_-_delovye_konsultatsii" TargetMode="External"/><Relationship Id="rId55" Type="http://schemas.openxmlformats.org/officeDocument/2006/relationships/hyperlink" Target="http://www.raexpert.ru/database/companies/delprof" TargetMode="External"/><Relationship Id="rId76" Type="http://schemas.openxmlformats.org/officeDocument/2006/relationships/hyperlink" Target="http://www.raexpert.ru/database/companies/ekopsi_konsaltin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aexpert.ru/database/companies/audit_-_novye_tehnologii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hart" Target="charts/chart12.xml"/><Relationship Id="rId24" Type="http://schemas.openxmlformats.org/officeDocument/2006/relationships/chart" Target="charts/chart7.xml"/><Relationship Id="rId40" Type="http://schemas.openxmlformats.org/officeDocument/2006/relationships/hyperlink" Target="http://www.raexpert.ru/database/companies/ai-teko" TargetMode="External"/><Relationship Id="rId45" Type="http://schemas.openxmlformats.org/officeDocument/2006/relationships/hyperlink" Target="http://www.raexpert.ru/database/companies/borlas" TargetMode="External"/><Relationship Id="rId66" Type="http://schemas.openxmlformats.org/officeDocument/2006/relationships/hyperlink" Target="http://www.raexpert.ru/database/companies/srg-appraisal" TargetMode="External"/><Relationship Id="rId87" Type="http://schemas.openxmlformats.org/officeDocument/2006/relationships/footer" Target="footer4.xml"/><Relationship Id="rId61" Type="http://schemas.openxmlformats.org/officeDocument/2006/relationships/hyperlink" Target="http://www.raexpert.ru/database/companies/ksk_group" TargetMode="External"/><Relationship Id="rId82" Type="http://schemas.openxmlformats.org/officeDocument/2006/relationships/hyperlink" Target="http://www.raexpert.ru/database/companies/neoflex" TargetMode="External"/><Relationship Id="rId19" Type="http://schemas.openxmlformats.org/officeDocument/2006/relationships/hyperlink" Target="http://ru.wikipedia.org/wiki/KPMG" TargetMode="External"/><Relationship Id="rId14" Type="http://schemas.openxmlformats.org/officeDocument/2006/relationships/header" Target="header4.xml"/><Relationship Id="rId30" Type="http://schemas.openxmlformats.org/officeDocument/2006/relationships/chart" Target="charts/chart13.xml"/><Relationship Id="rId35" Type="http://schemas.openxmlformats.org/officeDocument/2006/relationships/hyperlink" Target="http://www.raexpert.ru/database/companies/gruppa_kompanii_lanit" TargetMode="External"/><Relationship Id="rId56" Type="http://schemas.openxmlformats.org/officeDocument/2006/relationships/hyperlink" Target="http://www.raexpert.ru/database/companies/al_cons" TargetMode="External"/><Relationship Id="rId77" Type="http://schemas.openxmlformats.org/officeDocument/2006/relationships/hyperlink" Target="http://www.raexpert.ru/database/companies/ave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User\&#1056;&#1072;&#1073;&#1086;&#1095;&#1080;&#1081;%20&#1089;&#1090;&#1086;&#1083;\&#1058;&#1072;&#1073;&#1083;&#1080;&#1094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долл.)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Лист1!$A$2:$A$16</c:f>
              <c:numCache>
                <c:formatCode>General</c:formatCode>
                <c:ptCount val="15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33.32</c:v>
                </c:pt>
                <c:pt idx="1">
                  <c:v>48.96</c:v>
                </c:pt>
                <c:pt idx="2">
                  <c:v>57.8</c:v>
                </c:pt>
                <c:pt idx="3">
                  <c:v>64.599999999999994</c:v>
                </c:pt>
                <c:pt idx="4">
                  <c:v>63.24</c:v>
                </c:pt>
                <c:pt idx="5">
                  <c:v>63.6</c:v>
                </c:pt>
                <c:pt idx="6">
                  <c:v>65.959999999999994</c:v>
                </c:pt>
                <c:pt idx="7">
                  <c:v>87.72</c:v>
                </c:pt>
                <c:pt idx="8">
                  <c:v>100.64</c:v>
                </c:pt>
                <c:pt idx="9">
                  <c:v>110.16</c:v>
                </c:pt>
                <c:pt idx="10">
                  <c:v>117.9</c:v>
                </c:pt>
                <c:pt idx="11">
                  <c:v>113.8</c:v>
                </c:pt>
                <c:pt idx="12">
                  <c:v>117.2</c:v>
                </c:pt>
                <c:pt idx="13">
                  <c:v>125.6</c:v>
                </c:pt>
                <c:pt idx="14">
                  <c:v>132.80000000000001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757984"/>
        <c:axId val="16675854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</c:numCache>
            </c:numRef>
          </c:cat>
          <c:val>
            <c:numRef>
              <c:f>Лист1!$C$2:$C$16</c:f>
              <c:numCache>
                <c:formatCode>0.0%</c:formatCode>
                <c:ptCount val="15"/>
                <c:pt idx="0">
                  <c:v>0</c:v>
                </c:pt>
                <c:pt idx="1">
                  <c:v>0.46938775510204084</c:v>
                </c:pt>
                <c:pt idx="2">
                  <c:v>0.1805555555555555</c:v>
                </c:pt>
                <c:pt idx="3">
                  <c:v>0.11764705882352938</c:v>
                </c:pt>
                <c:pt idx="4">
                  <c:v>-2.1052631578947253E-2</c:v>
                </c:pt>
                <c:pt idx="5">
                  <c:v>5.692599620493349E-3</c:v>
                </c:pt>
                <c:pt idx="6">
                  <c:v>3.7106918238993584E-2</c:v>
                </c:pt>
                <c:pt idx="7">
                  <c:v>0.32989690721649495</c:v>
                </c:pt>
                <c:pt idx="8">
                  <c:v>0.1472868217054264</c:v>
                </c:pt>
                <c:pt idx="9">
                  <c:v>9.4594594594594544E-2</c:v>
                </c:pt>
                <c:pt idx="10">
                  <c:v>7.0261437908496815E-2</c:v>
                </c:pt>
                <c:pt idx="11">
                  <c:v>-3.4775233248515759E-2</c:v>
                </c:pt>
                <c:pt idx="12">
                  <c:v>2.9876977152899876E-2</c:v>
                </c:pt>
                <c:pt idx="13">
                  <c:v>7.1672354948805375E-2</c:v>
                </c:pt>
                <c:pt idx="14">
                  <c:v>5.732484076433135E-2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759664"/>
        <c:axId val="166759104"/>
      </c:lineChart>
      <c:catAx>
        <c:axId val="16675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758544"/>
        <c:crosses val="autoZero"/>
        <c:auto val="1"/>
        <c:lblAlgn val="ctr"/>
        <c:lblOffset val="100"/>
        <c:noMultiLvlLbl val="0"/>
      </c:catAx>
      <c:valAx>
        <c:axId val="1667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757984"/>
        <c:crosses val="autoZero"/>
        <c:crossBetween val="between"/>
      </c:valAx>
      <c:valAx>
        <c:axId val="16675910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759664"/>
        <c:crosses val="max"/>
        <c:crossBetween val="between"/>
      </c:valAx>
      <c:catAx>
        <c:axId val="166759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6759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3.45</c:v>
                </c:pt>
                <c:pt idx="1">
                  <c:v>4.08</c:v>
                </c:pt>
                <c:pt idx="2">
                  <c:v>2.95</c:v>
                </c:pt>
                <c:pt idx="3">
                  <c:v>3.67</c:v>
                </c:pt>
                <c:pt idx="4">
                  <c:v>4.4800000000000004</c:v>
                </c:pt>
                <c:pt idx="5">
                  <c:v>5.18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423840"/>
        <c:axId val="18942440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0.18260000000000001</c:v>
                </c:pt>
                <c:pt idx="2">
                  <c:v>-0.27700000000000002</c:v>
                </c:pt>
                <c:pt idx="3">
                  <c:v>0.24410000000000001</c:v>
                </c:pt>
                <c:pt idx="4">
                  <c:v>0.22070000000000001</c:v>
                </c:pt>
                <c:pt idx="5">
                  <c:v>0.15629999999999999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425520"/>
        <c:axId val="189424960"/>
      </c:lineChart>
      <c:catAx>
        <c:axId val="18942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24400"/>
        <c:crosses val="autoZero"/>
        <c:auto val="1"/>
        <c:lblAlgn val="ctr"/>
        <c:lblOffset val="100"/>
        <c:noMultiLvlLbl val="0"/>
      </c:catAx>
      <c:valAx>
        <c:axId val="18942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23840"/>
        <c:crosses val="autoZero"/>
        <c:crossBetween val="between"/>
      </c:valAx>
      <c:valAx>
        <c:axId val="18942496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25520"/>
        <c:crosses val="max"/>
        <c:crossBetween val="between"/>
      </c:valAx>
      <c:catAx>
        <c:axId val="189425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424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2.1800000000000002</c:v>
                </c:pt>
                <c:pt idx="1">
                  <c:v>2.54</c:v>
                </c:pt>
                <c:pt idx="2">
                  <c:v>2.04</c:v>
                </c:pt>
                <c:pt idx="3">
                  <c:v>2.33</c:v>
                </c:pt>
                <c:pt idx="4">
                  <c:v>3.01</c:v>
                </c:pt>
                <c:pt idx="5">
                  <c:v>3.41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428320"/>
        <c:axId val="18942888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0.1651</c:v>
                </c:pt>
                <c:pt idx="2">
                  <c:v>-0.19689999999999999</c:v>
                </c:pt>
                <c:pt idx="3">
                  <c:v>0.14219999999999999</c:v>
                </c:pt>
                <c:pt idx="4">
                  <c:v>0.2918</c:v>
                </c:pt>
                <c:pt idx="5">
                  <c:v>0.13289999999999999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722624"/>
        <c:axId val="189722064"/>
      </c:lineChart>
      <c:catAx>
        <c:axId val="18942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28880"/>
        <c:crosses val="autoZero"/>
        <c:auto val="1"/>
        <c:lblAlgn val="ctr"/>
        <c:lblOffset val="100"/>
        <c:noMultiLvlLbl val="0"/>
      </c:catAx>
      <c:valAx>
        <c:axId val="18942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28320"/>
        <c:crosses val="autoZero"/>
        <c:crossBetween val="between"/>
      </c:valAx>
      <c:valAx>
        <c:axId val="18972206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722624"/>
        <c:crosses val="max"/>
        <c:crossBetween val="between"/>
      </c:valAx>
      <c:catAx>
        <c:axId val="189722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722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1.59</c:v>
                </c:pt>
                <c:pt idx="1">
                  <c:v>0.92</c:v>
                </c:pt>
                <c:pt idx="2">
                  <c:v>2.71</c:v>
                </c:pt>
                <c:pt idx="3">
                  <c:v>3.1</c:v>
                </c:pt>
                <c:pt idx="4">
                  <c:v>3.6</c:v>
                </c:pt>
                <c:pt idx="5">
                  <c:v>3.16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725424"/>
        <c:axId val="18998072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-0.4214</c:v>
                </c:pt>
                <c:pt idx="2">
                  <c:v>1.9457</c:v>
                </c:pt>
                <c:pt idx="3">
                  <c:v>0.1439</c:v>
                </c:pt>
                <c:pt idx="4">
                  <c:v>0.1613</c:v>
                </c:pt>
                <c:pt idx="5">
                  <c:v>-0.1222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81840"/>
        <c:axId val="189981280"/>
      </c:lineChart>
      <c:catAx>
        <c:axId val="18972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80720"/>
        <c:crosses val="autoZero"/>
        <c:auto val="1"/>
        <c:lblAlgn val="ctr"/>
        <c:lblOffset val="100"/>
        <c:noMultiLvlLbl val="0"/>
      </c:catAx>
      <c:valAx>
        <c:axId val="18998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725424"/>
        <c:crosses val="autoZero"/>
        <c:crossBetween val="between"/>
      </c:valAx>
      <c:valAx>
        <c:axId val="18998128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81840"/>
        <c:crosses val="max"/>
        <c:crossBetween val="between"/>
      </c:valAx>
      <c:catAx>
        <c:axId val="189981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981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1.08</c:v>
                </c:pt>
                <c:pt idx="1">
                  <c:v>1.59</c:v>
                </c:pt>
                <c:pt idx="2">
                  <c:v>0.86</c:v>
                </c:pt>
                <c:pt idx="3">
                  <c:v>1.05</c:v>
                </c:pt>
                <c:pt idx="4">
                  <c:v>1.99</c:v>
                </c:pt>
                <c:pt idx="5">
                  <c:v>2.52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984640"/>
        <c:axId val="18998520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0.47220000000000001</c:v>
                </c:pt>
                <c:pt idx="2">
                  <c:v>-0.45900000000000002</c:v>
                </c:pt>
                <c:pt idx="3">
                  <c:v>0.22090000000000001</c:v>
                </c:pt>
                <c:pt idx="4">
                  <c:v>0.8952</c:v>
                </c:pt>
                <c:pt idx="5">
                  <c:v>0.26629999999999998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86320"/>
        <c:axId val="189985760"/>
      </c:lineChart>
      <c:catAx>
        <c:axId val="18998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85200"/>
        <c:crosses val="autoZero"/>
        <c:auto val="1"/>
        <c:lblAlgn val="ctr"/>
        <c:lblOffset val="100"/>
        <c:noMultiLvlLbl val="0"/>
      </c:catAx>
      <c:valAx>
        <c:axId val="18998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84640"/>
        <c:crosses val="autoZero"/>
        <c:crossBetween val="between"/>
      </c:valAx>
      <c:valAx>
        <c:axId val="18998576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86320"/>
        <c:crosses val="max"/>
        <c:crossBetween val="between"/>
      </c:valAx>
      <c:catAx>
        <c:axId val="189986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9857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0.78</c:v>
                </c:pt>
                <c:pt idx="1">
                  <c:v>0.55000000000000004</c:v>
                </c:pt>
                <c:pt idx="2">
                  <c:v>0.65</c:v>
                </c:pt>
                <c:pt idx="3">
                  <c:v>0.83</c:v>
                </c:pt>
                <c:pt idx="4">
                  <c:v>1.53</c:v>
                </c:pt>
                <c:pt idx="5">
                  <c:v>1.74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673184"/>
        <c:axId val="19067374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-0.2949</c:v>
                </c:pt>
                <c:pt idx="2">
                  <c:v>0.18179999999999999</c:v>
                </c:pt>
                <c:pt idx="3">
                  <c:v>0.27689999999999998</c:v>
                </c:pt>
                <c:pt idx="4">
                  <c:v>0.84340000000000004</c:v>
                </c:pt>
                <c:pt idx="5">
                  <c:v>0.13730000000000001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674864"/>
        <c:axId val="190674304"/>
      </c:lineChart>
      <c:catAx>
        <c:axId val="1906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673744"/>
        <c:crosses val="autoZero"/>
        <c:auto val="1"/>
        <c:lblAlgn val="ctr"/>
        <c:lblOffset val="100"/>
        <c:noMultiLvlLbl val="0"/>
      </c:catAx>
      <c:valAx>
        <c:axId val="19067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673184"/>
        <c:crosses val="autoZero"/>
        <c:crossBetween val="between"/>
      </c:valAx>
      <c:valAx>
        <c:axId val="19067430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674864"/>
        <c:crosses val="max"/>
        <c:crossBetween val="between"/>
      </c:valAx>
      <c:catAx>
        <c:axId val="190674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06743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0.85</c:v>
                </c:pt>
                <c:pt idx="1">
                  <c:v>0.56999999999999995</c:v>
                </c:pt>
                <c:pt idx="2">
                  <c:v>0.28000000000000003</c:v>
                </c:pt>
                <c:pt idx="3">
                  <c:v>1.25</c:v>
                </c:pt>
                <c:pt idx="4">
                  <c:v>1.28</c:v>
                </c:pt>
                <c:pt idx="5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677664"/>
        <c:axId val="19067822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-0.32940000000000003</c:v>
                </c:pt>
                <c:pt idx="2">
                  <c:v>-0.50880000000000003</c:v>
                </c:pt>
                <c:pt idx="3">
                  <c:v>3.4643000000000002</c:v>
                </c:pt>
                <c:pt idx="4">
                  <c:v>2.4E-2</c:v>
                </c:pt>
                <c:pt idx="5">
                  <c:v>-0.64059999999999995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679344"/>
        <c:axId val="190678784"/>
      </c:lineChart>
      <c:catAx>
        <c:axId val="19067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678224"/>
        <c:crosses val="autoZero"/>
        <c:auto val="1"/>
        <c:lblAlgn val="ctr"/>
        <c:lblOffset val="100"/>
        <c:noMultiLvlLbl val="0"/>
      </c:catAx>
      <c:valAx>
        <c:axId val="19067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677664"/>
        <c:crosses val="autoZero"/>
        <c:crossBetween val="between"/>
      </c:valAx>
      <c:valAx>
        <c:axId val="1906787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679344"/>
        <c:crosses val="max"/>
        <c:crossBetween val="between"/>
      </c:valAx>
      <c:catAx>
        <c:axId val="19067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0678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Германия</c:v>
                </c:pt>
                <c:pt idx="1">
                  <c:v>Великобритания</c:v>
                </c:pt>
                <c:pt idx="2">
                  <c:v>Испания</c:v>
                </c:pt>
                <c:pt idx="3">
                  <c:v>Франция</c:v>
                </c:pt>
                <c:pt idx="4">
                  <c:v>Северный регион</c:v>
                </c:pt>
                <c:pt idx="5">
                  <c:v>Швеция</c:v>
                </c:pt>
                <c:pt idx="6">
                  <c:v>Португалия</c:v>
                </c:pt>
                <c:pt idx="7">
                  <c:v>Австрия</c:v>
                </c:pt>
                <c:pt idx="8">
                  <c:v>Греция</c:v>
                </c:pt>
                <c:pt idx="9">
                  <c:v>Италия</c:v>
                </c:pt>
                <c:pt idx="10">
                  <c:v>Центральная Европа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0.33000000000000113</c:v>
                </c:pt>
                <c:pt idx="1">
                  <c:v>0.22</c:v>
                </c:pt>
                <c:pt idx="2">
                  <c:v>0.12000000000000002</c:v>
                </c:pt>
                <c:pt idx="3">
                  <c:v>0.1</c:v>
                </c:pt>
                <c:pt idx="4">
                  <c:v>9.0000000000000024E-2</c:v>
                </c:pt>
                <c:pt idx="5">
                  <c:v>1.4E-2</c:v>
                </c:pt>
                <c:pt idx="6">
                  <c:v>1.4999999999999998E-2</c:v>
                </c:pt>
                <c:pt idx="7">
                  <c:v>3.0000000000000002E-2</c:v>
                </c:pt>
                <c:pt idx="8">
                  <c:v>2.0000000000000052E-3</c:v>
                </c:pt>
                <c:pt idx="9">
                  <c:v>0.05</c:v>
                </c:pt>
                <c:pt idx="10">
                  <c:v>2.5999999999999999E-2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Лист1!$A$2:$A$12</c:f>
              <c:strCache>
                <c:ptCount val="11"/>
                <c:pt idx="0">
                  <c:v>Германия</c:v>
                </c:pt>
                <c:pt idx="1">
                  <c:v>Великобритания</c:v>
                </c:pt>
                <c:pt idx="2">
                  <c:v>Испания</c:v>
                </c:pt>
                <c:pt idx="3">
                  <c:v>Франция</c:v>
                </c:pt>
                <c:pt idx="4">
                  <c:v>Северный регион</c:v>
                </c:pt>
                <c:pt idx="5">
                  <c:v>Швеция</c:v>
                </c:pt>
                <c:pt idx="6">
                  <c:v>Португалия</c:v>
                </c:pt>
                <c:pt idx="7">
                  <c:v>Австрия</c:v>
                </c:pt>
                <c:pt idx="8">
                  <c:v>Греция</c:v>
                </c:pt>
                <c:pt idx="9">
                  <c:v>Италия</c:v>
                </c:pt>
                <c:pt idx="10">
                  <c:v>Центральная Европа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8232567420300528E-2"/>
          <c:y val="4.307390427479979E-2"/>
          <c:w val="0.90711506090978389"/>
          <c:h val="0.8660860990921797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Лист12!$A$1:$A$10</c:f>
              <c:strCache>
                <c:ptCount val="10"/>
                <c:pt idx="0">
                  <c:v>Стратегический консалтинг и маркетинг</c:v>
                </c:pt>
                <c:pt idx="1">
                  <c:v>Налоговый консалтинг</c:v>
                </c:pt>
                <c:pt idx="2">
                  <c:v>Финансовый консалтинг</c:v>
                </c:pt>
                <c:pt idx="3">
                  <c:v>Консалтинг в области производства</c:v>
                </c:pt>
                <c:pt idx="4">
                  <c:v>Юридический консалтинг</c:v>
                </c:pt>
                <c:pt idx="5">
                  <c:v>IT-консалтинг</c:v>
                </c:pt>
                <c:pt idx="6">
                  <c:v>Оценочная деятельность</c:v>
                </c:pt>
                <c:pt idx="7">
                  <c:v>Консалтинг в области управления персоналом</c:v>
                </c:pt>
                <c:pt idx="8">
                  <c:v>Общее управление и администрирование</c:v>
                </c:pt>
                <c:pt idx="9">
                  <c:v>Реструктуризация предприятий</c:v>
                </c:pt>
              </c:strCache>
            </c:strRef>
          </c:cat>
          <c:val>
            <c:numRef>
              <c:f>Лист12!$B$1:$B$10</c:f>
              <c:numCache>
                <c:formatCode>0.0%</c:formatCode>
                <c:ptCount val="10"/>
                <c:pt idx="0">
                  <c:v>-0.64059999999999995</c:v>
                </c:pt>
                <c:pt idx="1">
                  <c:v>0.15630000000000024</c:v>
                </c:pt>
                <c:pt idx="2">
                  <c:v>0.39300000000000107</c:v>
                </c:pt>
                <c:pt idx="3">
                  <c:v>0.13730000000000001</c:v>
                </c:pt>
                <c:pt idx="4">
                  <c:v>0.13289999999999999</c:v>
                </c:pt>
                <c:pt idx="5">
                  <c:v>0.27800000000000002</c:v>
                </c:pt>
                <c:pt idx="6">
                  <c:v>0.21800000000000044</c:v>
                </c:pt>
                <c:pt idx="7">
                  <c:v>0.26629999999999998</c:v>
                </c:pt>
                <c:pt idx="8" formatCode="0.00%">
                  <c:v>1.7299999999999996E-2</c:v>
                </c:pt>
                <c:pt idx="9" formatCode="0.00%">
                  <c:v>-0.12220000000000021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cone"/>
        <c:axId val="166764144"/>
        <c:axId val="166764704"/>
        <c:axId val="0"/>
      </c:bar3DChart>
      <c:catAx>
        <c:axId val="16676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764704"/>
        <c:crosses val="autoZero"/>
        <c:auto val="1"/>
        <c:lblAlgn val="ctr"/>
        <c:lblOffset val="100"/>
        <c:noMultiLvlLbl val="0"/>
      </c:catAx>
      <c:valAx>
        <c:axId val="1667647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66764144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54.23</c:v>
                </c:pt>
                <c:pt idx="1">
                  <c:v>62.69</c:v>
                </c:pt>
                <c:pt idx="2">
                  <c:v>52.21</c:v>
                </c:pt>
                <c:pt idx="3">
                  <c:v>52.09</c:v>
                </c:pt>
                <c:pt idx="4">
                  <c:v>77.16</c:v>
                </c:pt>
                <c:pt idx="5">
                  <c:v>92.76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312416"/>
        <c:axId val="169312976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</c:v>
                </c:pt>
                <c:pt idx="1">
                  <c:v>0.156</c:v>
                </c:pt>
                <c:pt idx="2">
                  <c:v>-0.16700000000000001</c:v>
                </c:pt>
                <c:pt idx="3">
                  <c:v>-2E-3</c:v>
                </c:pt>
                <c:pt idx="4">
                  <c:v>0.48099999999999998</c:v>
                </c:pt>
                <c:pt idx="5">
                  <c:v>0.20200000000000001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314096"/>
        <c:axId val="169313536"/>
      </c:lineChart>
      <c:catAx>
        <c:axId val="16931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312976"/>
        <c:crosses val="autoZero"/>
        <c:auto val="1"/>
        <c:lblAlgn val="ctr"/>
        <c:lblOffset val="100"/>
        <c:noMultiLvlLbl val="0"/>
      </c:catAx>
      <c:valAx>
        <c:axId val="16931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312416"/>
        <c:crosses val="autoZero"/>
        <c:crossBetween val="between"/>
      </c:valAx>
      <c:valAx>
        <c:axId val="1693135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314096"/>
        <c:crosses val="max"/>
        <c:crossBetween val="between"/>
      </c:valAx>
      <c:catAx>
        <c:axId val="169314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9313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77</c:v>
                </c:pt>
                <c:pt idx="2">
                  <c:v>79</c:v>
                </c:pt>
                <c:pt idx="3">
                  <c:v>88</c:v>
                </c:pt>
                <c:pt idx="4">
                  <c:v>104</c:v>
                </c:pt>
                <c:pt idx="5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316896"/>
        <c:axId val="169317456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2.5000000000000001E-2</c:v>
                </c:pt>
                <c:pt idx="3">
                  <c:v>0.1139</c:v>
                </c:pt>
                <c:pt idx="4">
                  <c:v>0.188</c:v>
                </c:pt>
                <c:pt idx="5">
                  <c:v>0.14399999999999999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239008"/>
        <c:axId val="170237888"/>
      </c:lineChart>
      <c:catAx>
        <c:axId val="16931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317456"/>
        <c:crosses val="autoZero"/>
        <c:auto val="1"/>
        <c:lblAlgn val="ctr"/>
        <c:lblOffset val="100"/>
        <c:noMultiLvlLbl val="0"/>
      </c:catAx>
      <c:valAx>
        <c:axId val="1693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316896"/>
        <c:crosses val="autoZero"/>
        <c:crossBetween val="between"/>
      </c:valAx>
      <c:valAx>
        <c:axId val="17023788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239008"/>
        <c:crosses val="max"/>
        <c:crossBetween val="between"/>
      </c:valAx>
      <c:catAx>
        <c:axId val="170239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02378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28.36</c:v>
                </c:pt>
                <c:pt idx="1">
                  <c:v>29.01</c:v>
                </c:pt>
                <c:pt idx="2">
                  <c:v>25.63</c:v>
                </c:pt>
                <c:pt idx="3">
                  <c:v>21.8</c:v>
                </c:pt>
                <c:pt idx="4">
                  <c:v>36.97</c:v>
                </c:pt>
                <c:pt idx="5">
                  <c:v>47.25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452240"/>
        <c:axId val="18945280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</c:v>
                </c:pt>
                <c:pt idx="1">
                  <c:v>2.3E-2</c:v>
                </c:pt>
                <c:pt idx="2">
                  <c:v>-0.11700000000000001</c:v>
                </c:pt>
                <c:pt idx="3">
                  <c:v>-0.14899999999999999</c:v>
                </c:pt>
                <c:pt idx="4">
                  <c:v>0.69599999999999995</c:v>
                </c:pt>
                <c:pt idx="5">
                  <c:v>0.27800000000000002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453920"/>
        <c:axId val="189453360"/>
      </c:lineChart>
      <c:catAx>
        <c:axId val="18945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2800"/>
        <c:crosses val="autoZero"/>
        <c:auto val="1"/>
        <c:lblAlgn val="ctr"/>
        <c:lblOffset val="100"/>
        <c:noMultiLvlLbl val="0"/>
      </c:catAx>
      <c:valAx>
        <c:axId val="18945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2240"/>
        <c:crosses val="autoZero"/>
        <c:crossBetween val="between"/>
      </c:valAx>
      <c:valAx>
        <c:axId val="18945336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3920"/>
        <c:crosses val="max"/>
        <c:crossBetween val="between"/>
      </c:valAx>
      <c:catAx>
        <c:axId val="1894539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453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4.8499999999999996</c:v>
                </c:pt>
                <c:pt idx="1">
                  <c:v>5.87</c:v>
                </c:pt>
                <c:pt idx="2">
                  <c:v>5.23</c:v>
                </c:pt>
                <c:pt idx="3">
                  <c:v>5.39</c:v>
                </c:pt>
                <c:pt idx="4">
                  <c:v>5.81</c:v>
                </c:pt>
                <c:pt idx="5">
                  <c:v>7.08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456720"/>
        <c:axId val="18945728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</c:v>
                </c:pt>
                <c:pt idx="1">
                  <c:v>0.21</c:v>
                </c:pt>
                <c:pt idx="2">
                  <c:v>-0.11</c:v>
                </c:pt>
                <c:pt idx="3">
                  <c:v>0.03</c:v>
                </c:pt>
                <c:pt idx="4">
                  <c:v>7.6999999999999999E-2</c:v>
                </c:pt>
                <c:pt idx="5">
                  <c:v>0.218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458400"/>
        <c:axId val="189457840"/>
      </c:lineChart>
      <c:catAx>
        <c:axId val="18945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7280"/>
        <c:crosses val="autoZero"/>
        <c:auto val="1"/>
        <c:lblAlgn val="ctr"/>
        <c:lblOffset val="100"/>
        <c:noMultiLvlLbl val="0"/>
      </c:catAx>
      <c:valAx>
        <c:axId val="18945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6720"/>
        <c:crosses val="autoZero"/>
        <c:crossBetween val="between"/>
      </c:valAx>
      <c:valAx>
        <c:axId val="18945784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8400"/>
        <c:crosses val="max"/>
        <c:crossBetween val="between"/>
      </c:valAx>
      <c:catAx>
        <c:axId val="189458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457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 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3.19</c:v>
                </c:pt>
                <c:pt idx="1">
                  <c:v>2.87</c:v>
                </c:pt>
                <c:pt idx="2">
                  <c:v>2.74</c:v>
                </c:pt>
                <c:pt idx="3">
                  <c:v>3.54</c:v>
                </c:pt>
                <c:pt idx="4">
                  <c:v>4.3</c:v>
                </c:pt>
                <c:pt idx="5">
                  <c:v>5.99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260608"/>
        <c:axId val="18926116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</c:v>
                </c:pt>
                <c:pt idx="1">
                  <c:v>-0.1</c:v>
                </c:pt>
                <c:pt idx="2">
                  <c:v>-4.4999999999999998E-2</c:v>
                </c:pt>
                <c:pt idx="3">
                  <c:v>0.29099999999999998</c:v>
                </c:pt>
                <c:pt idx="4">
                  <c:v>0.214</c:v>
                </c:pt>
                <c:pt idx="5">
                  <c:v>0.39300000000000002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62288"/>
        <c:axId val="189261728"/>
      </c:lineChart>
      <c:catAx>
        <c:axId val="18926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61168"/>
        <c:crosses val="autoZero"/>
        <c:auto val="1"/>
        <c:lblAlgn val="ctr"/>
        <c:lblOffset val="100"/>
        <c:noMultiLvlLbl val="0"/>
      </c:catAx>
      <c:valAx>
        <c:axId val="18926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60608"/>
        <c:crosses val="autoZero"/>
        <c:crossBetween val="between"/>
      </c:valAx>
      <c:valAx>
        <c:axId val="18926172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62288"/>
        <c:crosses val="max"/>
        <c:crossBetween val="between"/>
      </c:valAx>
      <c:catAx>
        <c:axId val="189262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2617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(млрд.руб.)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2.16</c:v>
                </c:pt>
                <c:pt idx="1">
                  <c:v>2.44</c:v>
                </c:pt>
                <c:pt idx="2">
                  <c:v>1.19</c:v>
                </c:pt>
                <c:pt idx="3">
                  <c:v>1.83</c:v>
                </c:pt>
                <c:pt idx="4">
                  <c:v>5.2</c:v>
                </c:pt>
                <c:pt idx="5">
                  <c:v>5.29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265088"/>
        <c:axId val="18926564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</c:v>
                </c:pt>
              </c:strCache>
            </c:strRef>
          </c:tx>
          <c:spPr>
            <a:ln w="28575" cap="rnd">
              <a:solidFill>
                <a:schemeClr val="accent1">
                  <a:tint val="77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77000"/>
                </a:schemeClr>
              </a:solidFill>
              <a:ln w="9525">
                <a:solidFill>
                  <a:schemeClr val="accent1">
                    <a:tint val="77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 formatCode="0.0%">
                  <c:v>0</c:v>
                </c:pt>
                <c:pt idx="1">
                  <c:v>0.12959999999999999</c:v>
                </c:pt>
                <c:pt idx="2">
                  <c:v>-0.51229999999999998</c:v>
                </c:pt>
                <c:pt idx="3">
                  <c:v>0.53779999999999994</c:v>
                </c:pt>
                <c:pt idx="4">
                  <c:v>1.8414999999999999</c:v>
                </c:pt>
                <c:pt idx="5">
                  <c:v>1.7299999999999999E-2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66768"/>
        <c:axId val="189266208"/>
      </c:lineChart>
      <c:catAx>
        <c:axId val="1892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65648"/>
        <c:crosses val="autoZero"/>
        <c:auto val="1"/>
        <c:lblAlgn val="ctr"/>
        <c:lblOffset val="100"/>
        <c:noMultiLvlLbl val="0"/>
      </c:catAx>
      <c:valAx>
        <c:axId val="18926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65088"/>
        <c:crosses val="autoZero"/>
        <c:crossBetween val="between"/>
      </c:valAx>
      <c:valAx>
        <c:axId val="18926620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66768"/>
        <c:crosses val="max"/>
        <c:crossBetween val="between"/>
      </c:valAx>
      <c:catAx>
        <c:axId val="18926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2662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55FE9"/>
    <w:rsid w:val="00063456"/>
    <w:rsid w:val="00092D3E"/>
    <w:rsid w:val="001451BD"/>
    <w:rsid w:val="001A313F"/>
    <w:rsid w:val="001F3030"/>
    <w:rsid w:val="002F5D22"/>
    <w:rsid w:val="0033058B"/>
    <w:rsid w:val="00333903"/>
    <w:rsid w:val="00441416"/>
    <w:rsid w:val="004F0A01"/>
    <w:rsid w:val="005B0271"/>
    <w:rsid w:val="005C7E46"/>
    <w:rsid w:val="0060625D"/>
    <w:rsid w:val="006A751F"/>
    <w:rsid w:val="00726B42"/>
    <w:rsid w:val="00727F89"/>
    <w:rsid w:val="007752E5"/>
    <w:rsid w:val="007A2C2E"/>
    <w:rsid w:val="007C1690"/>
    <w:rsid w:val="009D2D1C"/>
    <w:rsid w:val="00A9094B"/>
    <w:rsid w:val="00B27D50"/>
    <w:rsid w:val="00BA42E3"/>
    <w:rsid w:val="00C737E9"/>
    <w:rsid w:val="00C956D8"/>
    <w:rsid w:val="00D67174"/>
    <w:rsid w:val="00D85EA2"/>
    <w:rsid w:val="00E21CDE"/>
    <w:rsid w:val="00E321EA"/>
    <w:rsid w:val="00EB5F4B"/>
    <w:rsid w:val="00ED0D53"/>
    <w:rsid w:val="00EE31A8"/>
    <w:rsid w:val="00F7138E"/>
    <w:rsid w:val="00F9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  <w:rsid w:val="00726B42"/>
  </w:style>
  <w:style w:type="paragraph" w:customStyle="1" w:styleId="454E92AF987440B594626F3868C22732">
    <w:name w:val="454E92AF987440B594626F3868C22732"/>
    <w:rsid w:val="00726B42"/>
  </w:style>
  <w:style w:type="paragraph" w:customStyle="1" w:styleId="F4DF8F4AAEF7457CA51EF3E774205D45">
    <w:name w:val="F4DF8F4AAEF7457CA51EF3E774205D45"/>
    <w:rsid w:val="00726B42"/>
  </w:style>
  <w:style w:type="paragraph" w:customStyle="1" w:styleId="96B19A3DB59A45BAA3C3600D1550F6A0">
    <w:name w:val="96B19A3DB59A45BAA3C3600D1550F6A0"/>
    <w:rsid w:val="00726B42"/>
  </w:style>
  <w:style w:type="paragraph" w:customStyle="1" w:styleId="0DC84BF8F8214F03A1471921ECFE0781">
    <w:name w:val="0DC84BF8F8214F03A1471921ECFE0781"/>
    <w:rsid w:val="00726B42"/>
  </w:style>
  <w:style w:type="paragraph" w:customStyle="1" w:styleId="24613790CB95426B9461957FD286CA7B">
    <w:name w:val="24613790CB95426B9461957FD286CA7B"/>
    <w:rsid w:val="00726B42"/>
  </w:style>
  <w:style w:type="paragraph" w:customStyle="1" w:styleId="4450318AF73142AD9EE0385BB7DA32D1">
    <w:name w:val="4450318AF73142AD9EE0385BB7DA32D1"/>
    <w:rsid w:val="00726B42"/>
  </w:style>
  <w:style w:type="paragraph" w:customStyle="1" w:styleId="A0EDF58F508F4C8A9A42027A43A0813F">
    <w:name w:val="A0EDF58F508F4C8A9A42027A43A0813F"/>
    <w:rsid w:val="00726B42"/>
  </w:style>
  <w:style w:type="paragraph" w:customStyle="1" w:styleId="F2ACEAF4C485405795841DD43D16F489">
    <w:name w:val="F2ACEAF4C485405795841DD43D16F489"/>
    <w:rsid w:val="00726B42"/>
  </w:style>
  <w:style w:type="paragraph" w:customStyle="1" w:styleId="284BB4981656496EB2AE323DB4F1BC91">
    <w:name w:val="284BB4981656496EB2AE323DB4F1BC91"/>
    <w:rsid w:val="00726B42"/>
  </w:style>
  <w:style w:type="paragraph" w:customStyle="1" w:styleId="94F17DBAB7B04274B39204CF657968D1">
    <w:name w:val="94F17DBAB7B04274B39204CF657968D1"/>
    <w:rsid w:val="00726B42"/>
  </w:style>
  <w:style w:type="paragraph" w:customStyle="1" w:styleId="514A79C2C0A94A299E1F4CB75C739921">
    <w:name w:val="514A79C2C0A94A299E1F4CB75C739921"/>
    <w:rsid w:val="00726B42"/>
  </w:style>
  <w:style w:type="paragraph" w:customStyle="1" w:styleId="3744D5AE21F34641B004BB3E10FCEAE7">
    <w:name w:val="3744D5AE21F34641B004BB3E10FCEAE7"/>
    <w:rsid w:val="00726B42"/>
  </w:style>
  <w:style w:type="paragraph" w:customStyle="1" w:styleId="096ACDF7987042FEAAC2BD3A04066908">
    <w:name w:val="096ACDF7987042FEAAC2BD3A04066908"/>
    <w:rsid w:val="00726B42"/>
  </w:style>
  <w:style w:type="paragraph" w:customStyle="1" w:styleId="62A16BDD5DFE4D499FB60103F7881EA5">
    <w:name w:val="62A16BDD5DFE4D499FB60103F7881EA5"/>
    <w:rsid w:val="00726B42"/>
  </w:style>
  <w:style w:type="paragraph" w:customStyle="1" w:styleId="45A359FCC03D4A00944E222F2BE616F7">
    <w:name w:val="45A359FCC03D4A00944E222F2BE616F7"/>
    <w:rsid w:val="00726B42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A94D82A6EB6743D0A537D44683C8CFAF">
    <w:name w:val="A94D82A6EB6743D0A537D44683C8CFAF"/>
    <w:rsid w:val="001A313F"/>
    <w:pPr>
      <w:spacing w:after="200" w:line="276" w:lineRule="auto"/>
    </w:pPr>
  </w:style>
  <w:style w:type="paragraph" w:customStyle="1" w:styleId="941EF850D0124BF4AAB885CD0D563925">
    <w:name w:val="941EF850D0124BF4AAB885CD0D563925"/>
    <w:rsid w:val="001A313F"/>
    <w:pPr>
      <w:spacing w:after="200" w:line="276" w:lineRule="auto"/>
    </w:pPr>
  </w:style>
  <w:style w:type="paragraph" w:customStyle="1" w:styleId="A08C1898428242B387F705382DE1F644">
    <w:name w:val="A08C1898428242B387F705382DE1F644"/>
    <w:rsid w:val="001A313F"/>
    <w:pPr>
      <w:spacing w:after="200" w:line="276" w:lineRule="auto"/>
    </w:pPr>
  </w:style>
  <w:style w:type="paragraph" w:customStyle="1" w:styleId="6F6EFBB8C4464705AD0725184D65D3EC">
    <w:name w:val="6F6EFBB8C4464705AD0725184D65D3EC"/>
    <w:rsid w:val="001A313F"/>
    <w:pPr>
      <w:spacing w:after="200" w:line="276" w:lineRule="auto"/>
    </w:pPr>
  </w:style>
  <w:style w:type="paragraph" w:customStyle="1" w:styleId="9D831AE545FF4F4F84A51C473504A061">
    <w:name w:val="9D831AE545FF4F4F84A51C473504A061"/>
    <w:rsid w:val="001A313F"/>
    <w:pPr>
      <w:spacing w:after="200" w:line="276" w:lineRule="auto"/>
    </w:pPr>
  </w:style>
  <w:style w:type="paragraph" w:customStyle="1" w:styleId="72A542A780C84012AC3A65646B5F83A0">
    <w:name w:val="72A542A780C84012AC3A65646B5F83A0"/>
    <w:rsid w:val="001A313F"/>
    <w:pPr>
      <w:spacing w:after="200" w:line="276" w:lineRule="auto"/>
    </w:pPr>
  </w:style>
  <w:style w:type="paragraph" w:customStyle="1" w:styleId="AA771ED00F9C4BACB9F44ACC132992AD">
    <w:name w:val="AA771ED00F9C4BACB9F44ACC132992AD"/>
    <w:rsid w:val="001A313F"/>
    <w:pPr>
      <w:spacing w:after="200" w:line="276" w:lineRule="auto"/>
    </w:pPr>
  </w:style>
  <w:style w:type="paragraph" w:customStyle="1" w:styleId="7516BDA1D0B742E2A24DB9590C39D4A2">
    <w:name w:val="7516BDA1D0B742E2A24DB9590C39D4A2"/>
    <w:rsid w:val="001A313F"/>
    <w:pPr>
      <w:spacing w:after="200" w:line="276" w:lineRule="auto"/>
    </w:pPr>
  </w:style>
  <w:style w:type="paragraph" w:customStyle="1" w:styleId="C6AE49D8DDB4442787AC103BEB948B3D">
    <w:name w:val="C6AE49D8DDB4442787AC103BEB948B3D"/>
    <w:rsid w:val="001A313F"/>
    <w:pPr>
      <w:spacing w:after="200" w:line="276" w:lineRule="auto"/>
    </w:pPr>
  </w:style>
  <w:style w:type="paragraph" w:customStyle="1" w:styleId="144CBD7A9D8347BC974218CB43FF1249">
    <w:name w:val="144CBD7A9D8347BC974218CB43FF1249"/>
    <w:rsid w:val="001A313F"/>
    <w:pPr>
      <w:spacing w:after="200" w:line="276" w:lineRule="auto"/>
    </w:pPr>
  </w:style>
  <w:style w:type="paragraph" w:customStyle="1" w:styleId="84A5C51C2EA2489DB79B25C3967D3DFF">
    <w:name w:val="84A5C51C2EA2489DB79B25C3967D3DFF"/>
    <w:rsid w:val="001A313F"/>
    <w:pPr>
      <w:spacing w:after="200" w:line="276" w:lineRule="auto"/>
    </w:pPr>
  </w:style>
  <w:style w:type="paragraph" w:customStyle="1" w:styleId="671DFF34DA3A4E4985CC35D1C7E71AAA">
    <w:name w:val="671DFF34DA3A4E4985CC35D1C7E71AAA"/>
    <w:rsid w:val="001A313F"/>
    <w:pPr>
      <w:spacing w:after="200" w:line="276" w:lineRule="auto"/>
    </w:pPr>
  </w:style>
  <w:style w:type="paragraph" w:customStyle="1" w:styleId="A761EE8ED02F4D3396032960BA63276B">
    <w:name w:val="A761EE8ED02F4D3396032960BA63276B"/>
    <w:rsid w:val="001A313F"/>
    <w:pPr>
      <w:spacing w:after="200" w:line="276" w:lineRule="auto"/>
    </w:pPr>
  </w:style>
  <w:style w:type="paragraph" w:customStyle="1" w:styleId="C1752F91A67E49038BFC9505015341F2">
    <w:name w:val="C1752F91A67E49038BFC9505015341F2"/>
    <w:rsid w:val="001A313F"/>
    <w:pPr>
      <w:spacing w:after="200" w:line="276" w:lineRule="auto"/>
    </w:pPr>
  </w:style>
  <w:style w:type="paragraph" w:customStyle="1" w:styleId="878692EFF291478A9261F52D1F0B0230">
    <w:name w:val="878692EFF291478A9261F52D1F0B0230"/>
    <w:rsid w:val="001A313F"/>
    <w:pPr>
      <w:spacing w:after="200" w:line="276" w:lineRule="auto"/>
    </w:pPr>
  </w:style>
  <w:style w:type="paragraph" w:customStyle="1" w:styleId="B0ADAC4F1DC64E10B0DFD922747772DA">
    <w:name w:val="B0ADAC4F1DC64E10B0DFD922747772DA"/>
    <w:rsid w:val="001A313F"/>
    <w:pPr>
      <w:spacing w:after="200" w:line="276" w:lineRule="auto"/>
    </w:pPr>
  </w:style>
  <w:style w:type="paragraph" w:customStyle="1" w:styleId="FDD9E4EF624042BF972779C75262B525">
    <w:name w:val="FDD9E4EF624042BF972779C75262B525"/>
    <w:rsid w:val="001A313F"/>
    <w:pPr>
      <w:spacing w:after="200" w:line="276" w:lineRule="auto"/>
    </w:pPr>
  </w:style>
  <w:style w:type="paragraph" w:customStyle="1" w:styleId="89DBFBF744514E83ABB447F269D093D1">
    <w:name w:val="89DBFBF744514E83ABB447F269D093D1"/>
    <w:rsid w:val="001A313F"/>
    <w:pPr>
      <w:spacing w:after="200" w:line="276" w:lineRule="auto"/>
    </w:pPr>
  </w:style>
  <w:style w:type="paragraph" w:customStyle="1" w:styleId="CB49A03052E14289AD131DF110042940">
    <w:name w:val="CB49A03052E14289AD131DF110042940"/>
    <w:rsid w:val="001A313F"/>
    <w:pPr>
      <w:spacing w:after="200" w:line="276" w:lineRule="auto"/>
    </w:pPr>
  </w:style>
  <w:style w:type="paragraph" w:customStyle="1" w:styleId="9FA9FEC8BE9E479BA18DB421095933FF">
    <w:name w:val="9FA9FEC8BE9E479BA18DB421095933FF"/>
    <w:rsid w:val="001A313F"/>
    <w:pPr>
      <w:spacing w:after="200" w:line="276" w:lineRule="auto"/>
    </w:pPr>
  </w:style>
  <w:style w:type="paragraph" w:customStyle="1" w:styleId="3E591CB6109043C2B5FEE9A7DDFB423D">
    <w:name w:val="3E591CB6109043C2B5FEE9A7DDFB423D"/>
    <w:rsid w:val="001A313F"/>
    <w:pPr>
      <w:spacing w:after="200" w:line="276" w:lineRule="auto"/>
    </w:pPr>
  </w:style>
  <w:style w:type="paragraph" w:customStyle="1" w:styleId="589A6CCB67FB45DC8CA693D9E87C720F">
    <w:name w:val="589A6CCB67FB45DC8CA693D9E87C720F"/>
    <w:rsid w:val="001A313F"/>
    <w:pPr>
      <w:spacing w:after="200" w:line="276" w:lineRule="auto"/>
    </w:pPr>
  </w:style>
  <w:style w:type="paragraph" w:customStyle="1" w:styleId="47865201DB644DA7B56EBE72D4FEB8EB">
    <w:name w:val="47865201DB644DA7B56EBE72D4FEB8EB"/>
    <w:rsid w:val="001A313F"/>
    <w:pPr>
      <w:spacing w:after="200" w:line="276" w:lineRule="auto"/>
    </w:pPr>
  </w:style>
  <w:style w:type="paragraph" w:customStyle="1" w:styleId="463FA57012E44A3AB2A191352375A162">
    <w:name w:val="463FA57012E44A3AB2A191352375A162"/>
    <w:rsid w:val="001A313F"/>
    <w:pPr>
      <w:spacing w:after="200" w:line="276" w:lineRule="auto"/>
    </w:pPr>
  </w:style>
  <w:style w:type="paragraph" w:customStyle="1" w:styleId="640DD0E852A94225B1BB44E459BFCF80">
    <w:name w:val="640DD0E852A94225B1BB44E459BFCF80"/>
    <w:rsid w:val="001A313F"/>
    <w:pPr>
      <w:spacing w:after="200" w:line="276" w:lineRule="auto"/>
    </w:pPr>
  </w:style>
  <w:style w:type="paragraph" w:customStyle="1" w:styleId="48C26A357202485E9C6A9522128CFDCC">
    <w:name w:val="48C26A357202485E9C6A9522128CFDCC"/>
    <w:rsid w:val="001A313F"/>
    <w:pPr>
      <w:spacing w:after="200" w:line="276" w:lineRule="auto"/>
    </w:pPr>
  </w:style>
  <w:style w:type="paragraph" w:customStyle="1" w:styleId="FF5474BF238542B998AB7B22E223028E">
    <w:name w:val="FF5474BF238542B998AB7B22E223028E"/>
    <w:rsid w:val="001A313F"/>
    <w:pPr>
      <w:spacing w:after="200" w:line="276" w:lineRule="auto"/>
    </w:pPr>
  </w:style>
  <w:style w:type="paragraph" w:customStyle="1" w:styleId="53CA4D7903114D798BD666C4F3280A9E">
    <w:name w:val="53CA4D7903114D798BD666C4F3280A9E"/>
    <w:rsid w:val="001A313F"/>
    <w:pPr>
      <w:spacing w:after="200" w:line="276" w:lineRule="auto"/>
    </w:pPr>
  </w:style>
  <w:style w:type="paragraph" w:customStyle="1" w:styleId="CEABFFAAC05B437283DAA06EC1844E53">
    <w:name w:val="CEABFFAAC05B437283DAA06EC1844E53"/>
    <w:rsid w:val="001A313F"/>
    <w:pPr>
      <w:spacing w:after="200" w:line="276" w:lineRule="auto"/>
    </w:pPr>
  </w:style>
  <w:style w:type="paragraph" w:customStyle="1" w:styleId="0899D9FB4E75419CA30F8B4CFF5E37EC">
    <w:name w:val="0899D9FB4E75419CA30F8B4CFF5E37EC"/>
    <w:rsid w:val="001A31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C4BA-A0BE-4533-A631-9765B12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1003</TotalTime>
  <Pages>30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консалтинговых услуг в России в 2013 г.</vt:lpstr>
    </vt:vector>
  </TitlesOfParts>
  <Company/>
  <LinksUpToDate>false</LinksUpToDate>
  <CharactersWithSpaces>36182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консалтинговых услуг в России в 2013 г.</dc:title>
  <dc:subject/>
  <dc:creator>10</dc:creator>
  <cp:keywords/>
  <dc:description/>
  <cp:lastModifiedBy>Полина Врублевская</cp:lastModifiedBy>
  <cp:revision>46</cp:revision>
  <cp:lastPrinted>2013-07-23T05:41:00Z</cp:lastPrinted>
  <dcterms:created xsi:type="dcterms:W3CDTF">2013-10-28T06:17:00Z</dcterms:created>
  <dcterms:modified xsi:type="dcterms:W3CDTF">2013-11-20T11:05:00Z</dcterms:modified>
</cp:coreProperties>
</file>