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F" w:rsidRPr="00DE336C" w:rsidRDefault="004D56BF" w:rsidP="004D56BF">
      <w:pPr>
        <w:pStyle w:val="af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88CA65" wp14:editId="79C974DB">
            <wp:simplePos x="0" y="0"/>
            <wp:positionH relativeFrom="column">
              <wp:posOffset>-1184910</wp:posOffset>
            </wp:positionH>
            <wp:positionV relativeFrom="paragraph">
              <wp:posOffset>-729615</wp:posOffset>
            </wp:positionV>
            <wp:extent cx="7677150" cy="10182225"/>
            <wp:effectExtent l="0" t="0" r="0" b="0"/>
            <wp:wrapNone/>
            <wp:docPr id="7" name="Picture 0" descr="Описание: 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Описание: 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BF" w:rsidRPr="006523CF" w:rsidRDefault="004D56BF" w:rsidP="004D56BF">
      <w:pPr>
        <w:pStyle w:val="af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D56BF" w:rsidRPr="00DE336C" w:rsidRDefault="004D56BF" w:rsidP="004D56BF">
      <w:pPr>
        <w:pStyle w:val="af"/>
        <w:spacing w:line="240" w:lineRule="auto"/>
        <w:rPr>
          <w:rFonts w:ascii="Garamond" w:hAnsi="Garamond" w:cs="Arial"/>
          <w:b/>
          <w:bCs/>
          <w:sz w:val="40"/>
          <w:szCs w:val="40"/>
        </w:rPr>
      </w:pP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D56BF" w:rsidRPr="006A52FD" w:rsidRDefault="004D56BF" w:rsidP="004D56BF">
      <w:pPr>
        <w:jc w:val="center"/>
        <w:rPr>
          <w:b/>
          <w:sz w:val="40"/>
        </w:rPr>
      </w:pPr>
      <w:r w:rsidRPr="006A52FD">
        <w:rPr>
          <w:b/>
          <w:sz w:val="40"/>
        </w:rPr>
        <w:t>АНАЛИТИЧЕСКИЙ ОТЧЕТ</w:t>
      </w:r>
    </w:p>
    <w:p w:rsidR="004D56BF" w:rsidRPr="006A52FD" w:rsidRDefault="004D56BF" w:rsidP="004D56BF">
      <w:pPr>
        <w:jc w:val="center"/>
        <w:rPr>
          <w:b/>
          <w:sz w:val="40"/>
        </w:rPr>
      </w:pPr>
      <w:r w:rsidRPr="006A52FD">
        <w:rPr>
          <w:b/>
          <w:sz w:val="40"/>
        </w:rPr>
        <w:t xml:space="preserve">Российский рынок </w:t>
      </w:r>
      <w:r w:rsidR="003502B5">
        <w:rPr>
          <w:b/>
          <w:sz w:val="40"/>
        </w:rPr>
        <w:t>пластиковых окон</w:t>
      </w:r>
    </w:p>
    <w:p w:rsidR="004D56BF" w:rsidRPr="006523CF" w:rsidRDefault="004D56BF" w:rsidP="004D56BF">
      <w:pPr>
        <w:pStyle w:val="af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4D56BF" w:rsidRPr="006523CF" w:rsidRDefault="004D56BF" w:rsidP="004D56BF">
      <w:pPr>
        <w:ind w:left="142" w:right="-58" w:firstLine="539"/>
        <w:rPr>
          <w:rFonts w:ascii="GaramondC" w:hAnsi="GaramondC"/>
          <w:sz w:val="16"/>
          <w:szCs w:val="16"/>
        </w:rPr>
      </w:pPr>
      <w:r w:rsidRPr="006523CF">
        <w:rPr>
          <w:rFonts w:ascii="GaramondC" w:hAnsi="GaramondC"/>
          <w:sz w:val="16"/>
          <w:szCs w:val="16"/>
        </w:rPr>
        <w:t>Этот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был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подготовлен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DISCOVERY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Research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Group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исключительно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целях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информации.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Содержащиеся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настоящем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была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получена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изоткрытых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источников,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которые,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мнению,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DISCOVERY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Research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Group</w:t>
      </w:r>
      <w:proofErr w:type="spellEnd"/>
      <w:r w:rsidRPr="006523CF">
        <w:rPr>
          <w:rFonts w:ascii="GaramondC" w:hAnsi="GaramondC"/>
          <w:sz w:val="16"/>
          <w:szCs w:val="16"/>
        </w:rPr>
        <w:t>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являются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надежными.</w:t>
      </w:r>
      <w:r w:rsidR="00A51A04">
        <w:rPr>
          <w:rFonts w:ascii="GaramondC" w:hAnsi="GaramondC"/>
          <w:sz w:val="16"/>
          <w:szCs w:val="16"/>
        </w:rPr>
        <w:t xml:space="preserve"> Однако</w:t>
      </w:r>
      <w:proofErr w:type="gramStart"/>
      <w:r w:rsidR="00A51A04">
        <w:rPr>
          <w:rFonts w:ascii="GaramondC" w:hAnsi="GaramondC"/>
          <w:sz w:val="16"/>
          <w:szCs w:val="16"/>
        </w:rPr>
        <w:t>,</w:t>
      </w:r>
      <w:proofErr w:type="gram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DISCOVERY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Research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Group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гарантирует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точности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полноты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для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любых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целей.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Информация,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представленная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этом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отчете,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должна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быть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истолкована,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прямо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или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косвенно,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как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информация,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содержащая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рекомендации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дальнейшим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действиям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ведению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бизнеса.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Все</w:t>
      </w:r>
      <w:r w:rsidR="00A51A04">
        <w:rPr>
          <w:rFonts w:ascii="GaramondC" w:hAnsi="GaramondC"/>
          <w:sz w:val="16"/>
          <w:szCs w:val="16"/>
        </w:rPr>
        <w:t xml:space="preserve"> мнения </w:t>
      </w:r>
      <w:r w:rsidRPr="006523CF">
        <w:rPr>
          <w:rFonts w:ascii="GaramondC" w:hAnsi="GaramondC"/>
          <w:sz w:val="16"/>
          <w:szCs w:val="16"/>
        </w:rPr>
        <w:t>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оценки,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содержащиеся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данном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отчете,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отражают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мнение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авторов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день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публикации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могут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быть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изменены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без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предупреждения.</w:t>
      </w:r>
    </w:p>
    <w:p w:rsidR="004D56BF" w:rsidRPr="006523CF" w:rsidRDefault="004D56BF" w:rsidP="004D56BF">
      <w:pPr>
        <w:ind w:left="142" w:right="-58" w:firstLine="539"/>
        <w:rPr>
          <w:rFonts w:ascii="GaramondC" w:hAnsi="GaramondC"/>
          <w:sz w:val="16"/>
          <w:szCs w:val="16"/>
        </w:rPr>
      </w:pPr>
      <w:r w:rsidRPr="006523CF">
        <w:rPr>
          <w:rFonts w:ascii="GaramondC" w:hAnsi="GaramondC"/>
          <w:sz w:val="16"/>
          <w:szCs w:val="16"/>
        </w:rPr>
        <w:t>DISCOVERY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Research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Group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несет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ответственности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за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какие-либо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убытки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или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ущерб,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возникшие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результате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использования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любой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третьей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стороной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информации,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содержащейся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данном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отчете,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включая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опубликованные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мнения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или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заключения,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также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за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последствия,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вызванные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неполнотой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представленной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информации.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Информация</w:t>
      </w:r>
      <w:r w:rsidR="00A51A04">
        <w:rPr>
          <w:rFonts w:ascii="GaramondC" w:hAnsi="GaramondC"/>
          <w:sz w:val="16"/>
          <w:szCs w:val="16"/>
        </w:rPr>
        <w:t xml:space="preserve">, </w:t>
      </w:r>
      <w:r w:rsidRPr="006523CF">
        <w:rPr>
          <w:rFonts w:ascii="GaramondC" w:hAnsi="GaramondC"/>
          <w:sz w:val="16"/>
          <w:szCs w:val="16"/>
        </w:rPr>
        <w:t>представленная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в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настоящем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отчете,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получена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из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открытых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источников.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Дополнительная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информация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может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быть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представлена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запросу.</w:t>
      </w:r>
    </w:p>
    <w:p w:rsidR="004D56BF" w:rsidRPr="006523CF" w:rsidRDefault="004D56BF" w:rsidP="004D56BF">
      <w:pPr>
        <w:ind w:left="142" w:right="-58" w:firstLine="539"/>
        <w:rPr>
          <w:rFonts w:ascii="GaramondC" w:hAnsi="GaramondC"/>
          <w:sz w:val="16"/>
          <w:szCs w:val="16"/>
        </w:rPr>
      </w:pPr>
      <w:r w:rsidRPr="006523CF">
        <w:rPr>
          <w:rFonts w:ascii="GaramondC" w:hAnsi="GaramondC"/>
          <w:sz w:val="16"/>
          <w:szCs w:val="16"/>
        </w:rPr>
        <w:t>Этот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документ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или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любая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ег</w:t>
      </w:r>
      <w:r w:rsidR="00A51A04">
        <w:rPr>
          <w:rFonts w:ascii="GaramondC" w:hAnsi="GaramondC"/>
          <w:sz w:val="16"/>
          <w:szCs w:val="16"/>
        </w:rPr>
        <w:t xml:space="preserve">о </w:t>
      </w:r>
      <w:r w:rsidRPr="006523CF">
        <w:rPr>
          <w:rFonts w:ascii="GaramondC" w:hAnsi="GaramondC"/>
          <w:sz w:val="16"/>
          <w:szCs w:val="16"/>
        </w:rPr>
        <w:t>часть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не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может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распространяться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без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письменного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разрешения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DISCOVERY</w:t>
      </w:r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Research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proofErr w:type="spellStart"/>
      <w:r w:rsidRPr="006523CF">
        <w:rPr>
          <w:rFonts w:ascii="GaramondC" w:hAnsi="GaramondC"/>
          <w:sz w:val="16"/>
          <w:szCs w:val="16"/>
        </w:rPr>
        <w:t>Group</w:t>
      </w:r>
      <w:proofErr w:type="spellEnd"/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либо</w:t>
      </w:r>
      <w:r w:rsidR="00A51A04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тиражироваться</w:t>
      </w:r>
      <w:r w:rsidR="003821C9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любыми</w:t>
      </w:r>
      <w:r w:rsidR="003821C9">
        <w:rPr>
          <w:rFonts w:ascii="GaramondC" w:hAnsi="GaramondC"/>
          <w:sz w:val="16"/>
          <w:szCs w:val="16"/>
        </w:rPr>
        <w:t xml:space="preserve"> </w:t>
      </w:r>
      <w:r w:rsidRPr="006523CF">
        <w:rPr>
          <w:rFonts w:ascii="GaramondC" w:hAnsi="GaramondC"/>
          <w:sz w:val="16"/>
          <w:szCs w:val="16"/>
        </w:rPr>
        <w:t>способами.</w:t>
      </w:r>
    </w:p>
    <w:p w:rsidR="004D56BF" w:rsidRPr="000B09BE" w:rsidRDefault="004D56BF" w:rsidP="00DE336C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  <w:r w:rsidRPr="006523CF">
        <w:rPr>
          <w:rFonts w:ascii="GaramondC" w:hAnsi="GaramondC"/>
          <w:sz w:val="16"/>
          <w:szCs w:val="16"/>
          <w:lang w:val="en-US"/>
        </w:rPr>
        <w:t>Copyright</w:t>
      </w:r>
      <w:r w:rsidRPr="000B09BE">
        <w:rPr>
          <w:rFonts w:ascii="GaramondC" w:hAnsi="GaramondC"/>
          <w:sz w:val="16"/>
          <w:szCs w:val="16"/>
          <w:lang w:val="en-US"/>
        </w:rPr>
        <w:t xml:space="preserve">©2012 </w:t>
      </w:r>
      <w:r w:rsidRPr="006523CF">
        <w:rPr>
          <w:rFonts w:ascii="GaramondC" w:hAnsi="GaramondC"/>
          <w:sz w:val="16"/>
          <w:szCs w:val="16"/>
          <w:lang w:val="en-US"/>
        </w:rPr>
        <w:t>Discovery</w:t>
      </w:r>
      <w:r w:rsidR="003821C9" w:rsidRPr="000B09BE">
        <w:rPr>
          <w:rFonts w:ascii="GaramondC" w:hAnsi="GaramondC"/>
          <w:sz w:val="16"/>
          <w:szCs w:val="16"/>
          <w:lang w:val="en-US"/>
        </w:rPr>
        <w:t xml:space="preserve"> </w:t>
      </w:r>
      <w:r w:rsidRPr="006523CF">
        <w:rPr>
          <w:rFonts w:ascii="GaramondC" w:hAnsi="GaramondC"/>
          <w:sz w:val="16"/>
          <w:szCs w:val="16"/>
          <w:lang w:val="en-US"/>
        </w:rPr>
        <w:t>Research</w:t>
      </w:r>
      <w:r w:rsidR="003821C9" w:rsidRPr="000B09BE">
        <w:rPr>
          <w:rFonts w:ascii="GaramondC" w:hAnsi="GaramondC"/>
          <w:sz w:val="16"/>
          <w:szCs w:val="16"/>
          <w:lang w:val="en-US"/>
        </w:rPr>
        <w:t xml:space="preserve"> </w:t>
      </w:r>
      <w:r w:rsidRPr="006523CF">
        <w:rPr>
          <w:rFonts w:ascii="GaramondC" w:hAnsi="GaramondC"/>
          <w:sz w:val="16"/>
          <w:szCs w:val="16"/>
          <w:lang w:val="en-US"/>
        </w:rPr>
        <w:t>Group</w:t>
      </w:r>
      <w:r w:rsidR="00DE336C" w:rsidRPr="000B09BE">
        <w:rPr>
          <w:rFonts w:ascii="GaramondC" w:hAnsi="GaramondC"/>
          <w:sz w:val="16"/>
          <w:szCs w:val="16"/>
          <w:lang w:val="en-US"/>
        </w:rPr>
        <w:t>.</w:t>
      </w:r>
    </w:p>
    <w:p w:rsidR="004D56BF" w:rsidRPr="000B09BE" w:rsidRDefault="004D56BF" w:rsidP="003821C9">
      <w:pPr>
        <w:ind w:right="-58"/>
        <w:rPr>
          <w:rFonts w:ascii="GaramondC" w:hAnsi="GaramondC"/>
          <w:sz w:val="16"/>
          <w:szCs w:val="16"/>
          <w:lang w:val="en-US"/>
        </w:rPr>
      </w:pPr>
    </w:p>
    <w:p w:rsidR="004D56BF" w:rsidRPr="000B09BE" w:rsidRDefault="004D56BF" w:rsidP="004D56BF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4D56BF" w:rsidRPr="000B09BE" w:rsidRDefault="003502B5" w:rsidP="004D56BF">
      <w:pPr>
        <w:jc w:val="center"/>
        <w:rPr>
          <w:b/>
          <w:lang w:val="en-US"/>
        </w:rPr>
      </w:pPr>
      <w:r>
        <w:rPr>
          <w:b/>
        </w:rPr>
        <w:t>Апрель</w:t>
      </w:r>
      <w:r w:rsidR="004D56BF" w:rsidRPr="000B09BE">
        <w:rPr>
          <w:b/>
          <w:lang w:val="en-US"/>
        </w:rPr>
        <w:t xml:space="preserve"> 2012 </w:t>
      </w:r>
      <w:r w:rsidR="004D56BF" w:rsidRPr="006A52FD">
        <w:rPr>
          <w:b/>
        </w:rPr>
        <w:t>г</w:t>
      </w:r>
      <w:r w:rsidR="004D56BF" w:rsidRPr="000B09BE">
        <w:rPr>
          <w:b/>
          <w:lang w:val="en-US"/>
        </w:rPr>
        <w:t>.</w:t>
      </w:r>
    </w:p>
    <w:p w:rsidR="004D56BF" w:rsidRPr="00B750E1" w:rsidRDefault="004D56BF" w:rsidP="004D56BF">
      <w:pPr>
        <w:jc w:val="center"/>
        <w:rPr>
          <w:rFonts w:ascii="Garamond" w:hAnsi="Garamond"/>
          <w:b/>
        </w:rPr>
      </w:pPr>
      <w:r w:rsidRPr="00BD3867">
        <w:rPr>
          <w:rFonts w:ascii="Garamond" w:hAnsi="Garamond"/>
          <w:b/>
        </w:rPr>
        <w:t>Москва</w:t>
      </w:r>
    </w:p>
    <w:p w:rsidR="004D56BF" w:rsidRDefault="004D56BF" w:rsidP="004D56BF">
      <w:r w:rsidRPr="00B750E1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213699932"/>
        <w:docPartObj>
          <w:docPartGallery w:val="Table of Contents"/>
          <w:docPartUnique/>
        </w:docPartObj>
      </w:sdtPr>
      <w:sdtEndPr/>
      <w:sdtContent>
        <w:p w:rsidR="004A6D1E" w:rsidRDefault="004A6D1E" w:rsidP="004A6D1E">
          <w:pPr>
            <w:pStyle w:val="af1"/>
            <w:pageBreakBefore/>
          </w:pPr>
          <w:r>
            <w:t>Оглавление</w:t>
          </w:r>
        </w:p>
        <w:p w:rsidR="003821C9" w:rsidRDefault="004A6D1E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3139795" w:history="1">
            <w:r w:rsidR="003821C9" w:rsidRPr="00915070">
              <w:rPr>
                <w:rStyle w:val="a7"/>
              </w:rPr>
              <w:t>СПИСОК ТАБЛИЦ И ДИАГРАММ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_Toc323139795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3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796" w:history="1">
            <w:r w:rsidR="003821C9" w:rsidRPr="00915070">
              <w:rPr>
                <w:rStyle w:val="a7"/>
              </w:rPr>
              <w:t>РЕЗЮМЕ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_Toc323139796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4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797" w:history="1">
            <w:r w:rsidR="003821C9" w:rsidRPr="00915070">
              <w:rPr>
                <w:rStyle w:val="a7"/>
              </w:rPr>
              <w:t>ГЛАВА 1. ТЕХНОЛОГИЧЕСКИЕ ХАРАКТЕРИСТИКИ ИССЛЕДОВАНИЯ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_Toc323139797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6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798" w:history="1">
            <w:r w:rsidR="003821C9" w:rsidRPr="00915070">
              <w:rPr>
                <w:rStyle w:val="a7"/>
                <w:noProof/>
              </w:rPr>
              <w:t>Цель исследования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_Toc323139798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799" w:history="1">
            <w:r w:rsidR="003821C9" w:rsidRPr="00915070">
              <w:rPr>
                <w:rStyle w:val="a7"/>
                <w:noProof/>
              </w:rPr>
              <w:t>Задачи исследования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_Toc323139799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0" w:history="1">
            <w:r w:rsidR="003821C9" w:rsidRPr="00915070">
              <w:rPr>
                <w:rStyle w:val="a7"/>
                <w:noProof/>
              </w:rPr>
              <w:t>Объект  исследования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_Toc323139800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1" w:history="1">
            <w:r w:rsidR="003821C9" w:rsidRPr="00915070">
              <w:rPr>
                <w:rStyle w:val="a7"/>
                <w:noProof/>
              </w:rPr>
              <w:t>Метод сбора информации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_Toc323139801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2" w:history="1">
            <w:r w:rsidR="003821C9" w:rsidRPr="00915070">
              <w:rPr>
                <w:rStyle w:val="a7"/>
                <w:noProof/>
              </w:rPr>
              <w:t>Метод анализа данных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_Toc323139802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3" w:history="1">
            <w:r w:rsidR="003821C9" w:rsidRPr="00915070">
              <w:rPr>
                <w:rStyle w:val="a7"/>
                <w:noProof/>
              </w:rPr>
              <w:t>Информационная база исследования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_Toc323139803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6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804" w:history="1">
            <w:r w:rsidR="003821C9" w:rsidRPr="00915070">
              <w:rPr>
                <w:rStyle w:val="a7"/>
              </w:rPr>
              <w:t>ГЛАВА 2. ОБЪЕМ И ТЕМПЫ РОСТА РЫНКА В 2008-2011 Г.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_Toc323139804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7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805" w:history="1">
            <w:r w:rsidR="003821C9" w:rsidRPr="00915070">
              <w:rPr>
                <w:rStyle w:val="a7"/>
              </w:rPr>
              <w:t>ГЛАВА 3. КЛЮЧЕВЫЕ ТРЕНДЫ И СОБЫТИЯ НА РЫНКЕ.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_Toc323139805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12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6" w:history="1">
            <w:r w:rsidR="003821C9" w:rsidRPr="00915070">
              <w:rPr>
                <w:rStyle w:val="a7"/>
                <w:noProof/>
              </w:rPr>
              <w:t>Перенасыщение рынка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_Toc323139806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12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7" w:history="1">
            <w:r w:rsidR="003821C9" w:rsidRPr="00915070">
              <w:rPr>
                <w:rStyle w:val="a7"/>
                <w:noProof/>
              </w:rPr>
              <w:t>Переориентация спроса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_Toc323139807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12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8" w:history="1">
            <w:r w:rsidR="003821C9" w:rsidRPr="00915070">
              <w:rPr>
                <w:rStyle w:val="a7"/>
                <w:noProof/>
              </w:rPr>
              <w:t>Покупка окон через интернет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_Toc323139808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12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09" w:history="1">
            <w:r w:rsidR="003821C9" w:rsidRPr="00915070">
              <w:rPr>
                <w:rStyle w:val="a7"/>
                <w:noProof/>
              </w:rPr>
              <w:t>Снижение качества пластиковых окон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_Toc323139809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13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3139810" w:history="1">
            <w:r w:rsidR="003821C9" w:rsidRPr="00915070">
              <w:rPr>
                <w:rStyle w:val="a7"/>
                <w:noProof/>
                <w:lang w:eastAsia="ru-RU"/>
              </w:rPr>
              <w:t>Основные события на рынке</w:t>
            </w:r>
            <w:r w:rsidR="003821C9">
              <w:rPr>
                <w:noProof/>
                <w:webHidden/>
              </w:rPr>
              <w:tab/>
            </w:r>
            <w:r w:rsidR="003821C9">
              <w:rPr>
                <w:noProof/>
                <w:webHidden/>
              </w:rPr>
              <w:fldChar w:fldCharType="begin"/>
            </w:r>
            <w:r w:rsidR="003821C9">
              <w:rPr>
                <w:noProof/>
                <w:webHidden/>
              </w:rPr>
              <w:instrText xml:space="preserve"> PAGEREF _Toc323139810 \h </w:instrText>
            </w:r>
            <w:r w:rsidR="003821C9">
              <w:rPr>
                <w:noProof/>
                <w:webHidden/>
              </w:rPr>
            </w:r>
            <w:r w:rsidR="003821C9">
              <w:rPr>
                <w:noProof/>
                <w:webHidden/>
              </w:rPr>
              <w:fldChar w:fldCharType="separate"/>
            </w:r>
            <w:r w:rsidR="003821C9">
              <w:rPr>
                <w:noProof/>
                <w:webHidden/>
              </w:rPr>
              <w:t>13</w:t>
            </w:r>
            <w:r w:rsidR="003821C9">
              <w:rPr>
                <w:noProof/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811" w:history="1">
            <w:r w:rsidR="003821C9" w:rsidRPr="00915070">
              <w:rPr>
                <w:rStyle w:val="a7"/>
              </w:rPr>
              <w:t>ГЛАВА 4. КЛЮЧЕВЫЕ ИГРОКИ НА РЫНКЕ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_Toc323139811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15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812" w:history="1">
            <w:r w:rsidR="003821C9" w:rsidRPr="00915070">
              <w:rPr>
                <w:rStyle w:val="a7"/>
              </w:rPr>
              <w:t>ГЛАВА 5. РЕГИОНАЛЬНЫЕ ОСОБЕННОСТИ РАЗВИТИЯ РЫНКА.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_Toc323139812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17</w:t>
            </w:r>
            <w:r w:rsidR="003821C9">
              <w:rPr>
                <w:webHidden/>
              </w:rPr>
              <w:fldChar w:fldCharType="end"/>
            </w:r>
          </w:hyperlink>
        </w:p>
        <w:p w:rsidR="003821C9" w:rsidRDefault="00AC6908">
          <w:pPr>
            <w:pStyle w:val="11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323139813" w:history="1">
            <w:r w:rsidR="003821C9" w:rsidRPr="00915070">
              <w:rPr>
                <w:rStyle w:val="a7"/>
              </w:rPr>
              <w:t>ГЛАВА 6. ПРОГНОЗ РАЗВИТИЯ РЫНКА НА 2012 ГОД.</w:t>
            </w:r>
            <w:r w:rsidR="003821C9">
              <w:rPr>
                <w:webHidden/>
              </w:rPr>
              <w:tab/>
            </w:r>
            <w:r w:rsidR="003821C9">
              <w:rPr>
                <w:webHidden/>
              </w:rPr>
              <w:fldChar w:fldCharType="begin"/>
            </w:r>
            <w:r w:rsidR="003821C9">
              <w:rPr>
                <w:webHidden/>
              </w:rPr>
              <w:instrText xml:space="preserve"> PAGEREF _Toc323139813 \h </w:instrText>
            </w:r>
            <w:r w:rsidR="003821C9">
              <w:rPr>
                <w:webHidden/>
              </w:rPr>
            </w:r>
            <w:r w:rsidR="003821C9">
              <w:rPr>
                <w:webHidden/>
              </w:rPr>
              <w:fldChar w:fldCharType="separate"/>
            </w:r>
            <w:r w:rsidR="003821C9">
              <w:rPr>
                <w:webHidden/>
              </w:rPr>
              <w:t>24</w:t>
            </w:r>
            <w:r w:rsidR="003821C9">
              <w:rPr>
                <w:webHidden/>
              </w:rPr>
              <w:fldChar w:fldCharType="end"/>
            </w:r>
          </w:hyperlink>
        </w:p>
        <w:p w:rsidR="004D56BF" w:rsidRDefault="004A6D1E" w:rsidP="00062BDC">
          <w:r>
            <w:rPr>
              <w:b/>
              <w:bCs/>
            </w:rPr>
            <w:fldChar w:fldCharType="end"/>
          </w:r>
        </w:p>
      </w:sdtContent>
    </w:sdt>
    <w:p w:rsidR="004D56BF" w:rsidRDefault="004D56BF" w:rsidP="004D56BF">
      <w:pPr>
        <w:pStyle w:val="1"/>
        <w:pageBreakBefore/>
      </w:pPr>
      <w:bookmarkStart w:id="0" w:name="_Toc320898369"/>
      <w:bookmarkStart w:id="1" w:name="_Toc323139795"/>
      <w:r>
        <w:lastRenderedPageBreak/>
        <w:t>СПИСОК ТАБЛИЦ И ДИАГРАММ</w:t>
      </w:r>
      <w:bookmarkEnd w:id="0"/>
      <w:bookmarkEnd w:id="1"/>
    </w:p>
    <w:p w:rsidR="004D56BF" w:rsidRDefault="005A59FD" w:rsidP="004D56BF">
      <w:pPr>
        <w:rPr>
          <w:b/>
        </w:rPr>
      </w:pPr>
      <w:r w:rsidRPr="005A59FD">
        <w:rPr>
          <w:b/>
        </w:rPr>
        <w:t>Таблицы:</w:t>
      </w:r>
    </w:p>
    <w:p w:rsidR="003821C9" w:rsidRDefault="00062BDC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\h \z \c "Таблица" </w:instrText>
      </w:r>
      <w:r>
        <w:rPr>
          <w:b/>
        </w:rPr>
        <w:fldChar w:fldCharType="separate"/>
      </w:r>
      <w:hyperlink w:anchor="_Toc323139818" w:history="1">
        <w:r w:rsidR="003821C9" w:rsidRPr="00746060">
          <w:rPr>
            <w:rStyle w:val="a7"/>
            <w:noProof/>
          </w:rPr>
          <w:t>Таблица 1. ТОР-20 оконных компаний по качеству телефонных продаж по версии Окна Медиа в 2011 году.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_Toc323139818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12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19" w:history="1">
        <w:r w:rsidR="003821C9" w:rsidRPr="00746060">
          <w:rPr>
            <w:rStyle w:val="a7"/>
            <w:noProof/>
          </w:rPr>
          <w:t>Таблица 2. Крупнейшие игроки оконного рынка по регионам.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_Toc323139819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15</w:t>
        </w:r>
        <w:r w:rsidR="003821C9">
          <w:rPr>
            <w:noProof/>
            <w:webHidden/>
          </w:rPr>
          <w:fldChar w:fldCharType="end"/>
        </w:r>
      </w:hyperlink>
    </w:p>
    <w:p w:rsidR="005A59FD" w:rsidRPr="005A59FD" w:rsidRDefault="00062BDC" w:rsidP="004D56BF">
      <w:pPr>
        <w:rPr>
          <w:b/>
        </w:rPr>
      </w:pPr>
      <w:r>
        <w:rPr>
          <w:b/>
        </w:rPr>
        <w:fldChar w:fldCharType="end"/>
      </w:r>
    </w:p>
    <w:p w:rsidR="005A59FD" w:rsidRDefault="005A59FD" w:rsidP="004D56BF">
      <w:pPr>
        <w:rPr>
          <w:b/>
        </w:rPr>
      </w:pPr>
      <w:r w:rsidRPr="005A59FD">
        <w:rPr>
          <w:b/>
        </w:rPr>
        <w:t>Диаграммы:</w:t>
      </w:r>
    </w:p>
    <w:p w:rsidR="003821C9" w:rsidRDefault="00E764F4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\h \z \c "Диаграмма" </w:instrText>
      </w:r>
      <w:r>
        <w:rPr>
          <w:b/>
        </w:rPr>
        <w:fldChar w:fldCharType="separate"/>
      </w:r>
      <w:hyperlink w:anchor="_Toc323139823" w:history="1">
        <w:r w:rsidR="003821C9" w:rsidRPr="002B1638">
          <w:rPr>
            <w:rStyle w:val="a7"/>
            <w:noProof/>
          </w:rPr>
          <w:t>Диаграмма 1. Объем и темп роста российского рынка пластиковых окон  в 2006-2011 гг по данным отраслевого центра О.К.Н.А. Маркетинг,  млн. кв.м.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_Toc323139823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7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4" w:history="1">
        <w:r w:rsidR="003821C9" w:rsidRPr="002B1638">
          <w:rPr>
            <w:rStyle w:val="a7"/>
            <w:noProof/>
          </w:rPr>
          <w:t>Диаграмма 2. Объем и темп роста российского рынка пластиковых окон  в 2006-2011 гг,  млрд. руб.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_Toc323139824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8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5" w:history="1">
        <w:r w:rsidR="003821C9" w:rsidRPr="002B1638">
          <w:rPr>
            <w:rStyle w:val="a7"/>
            <w:noProof/>
          </w:rPr>
          <w:t>Диаграмма 3. Объем и темп роста российского рынка пластиковых окон включая услуги по установке («под ключ») в 2006-2011 гг,  млрд. руб.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_Toc323139825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8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6" w:history="1">
        <w:r w:rsidR="003821C9" w:rsidRPr="002B1638">
          <w:rPr>
            <w:rStyle w:val="a7"/>
            <w:noProof/>
          </w:rPr>
          <w:t>Диаграмма 4. Структура рынка окон по типу конструкции в 2011году в натуральном выражении, млн. кв.м, %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_Toc323139826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9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7" w:history="1">
        <w:r w:rsidR="003821C9" w:rsidRPr="002B1638">
          <w:rPr>
            <w:rStyle w:val="a7"/>
            <w:noProof/>
          </w:rPr>
          <w:t>Диаграмма 5. Структура рынка окон по типу конструкции в 2011 году в стоимостном выражении, млрд. руб.,%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_Toc323139827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9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8" w:history="1">
        <w:r w:rsidR="003821C9" w:rsidRPr="002B1638">
          <w:rPr>
            <w:rStyle w:val="a7"/>
            <w:noProof/>
          </w:rPr>
          <w:t>Диаграмма 6. Количество запросов по словам «пластиковые окна» и «кондиционеры» в Яндексе в 2010 году, млн. шт.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_Toc323139828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11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29" w:history="1">
        <w:r w:rsidR="003821C9" w:rsidRPr="002B1638">
          <w:rPr>
            <w:rStyle w:val="a7"/>
            <w:noProof/>
          </w:rPr>
          <w:t>Диаграмма 6. Соотношение каналов сбыта оконной продукции на рынке Сибири в 2011 году.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_Toc323139829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18</w:t>
        </w:r>
        <w:r w:rsidR="003821C9">
          <w:rPr>
            <w:noProof/>
            <w:webHidden/>
          </w:rPr>
          <w:fldChar w:fldCharType="end"/>
        </w:r>
      </w:hyperlink>
    </w:p>
    <w:p w:rsidR="003821C9" w:rsidRDefault="00AC6908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23139830" w:history="1">
        <w:r w:rsidR="003821C9" w:rsidRPr="002B1638">
          <w:rPr>
            <w:rStyle w:val="a7"/>
            <w:noProof/>
          </w:rPr>
          <w:t>Диаграмма 7. Цены на стандартное окно «под ключ» в разных городах Сибири в 2011 году, тыс. руб.</w:t>
        </w:r>
        <w:r w:rsidR="003821C9">
          <w:rPr>
            <w:noProof/>
            <w:webHidden/>
          </w:rPr>
          <w:tab/>
        </w:r>
        <w:r w:rsidR="003821C9">
          <w:rPr>
            <w:noProof/>
            <w:webHidden/>
          </w:rPr>
          <w:fldChar w:fldCharType="begin"/>
        </w:r>
        <w:r w:rsidR="003821C9">
          <w:rPr>
            <w:noProof/>
            <w:webHidden/>
          </w:rPr>
          <w:instrText xml:space="preserve"> PAGEREF _Toc323139830 \h </w:instrText>
        </w:r>
        <w:r w:rsidR="003821C9">
          <w:rPr>
            <w:noProof/>
            <w:webHidden/>
          </w:rPr>
        </w:r>
        <w:r w:rsidR="003821C9">
          <w:rPr>
            <w:noProof/>
            <w:webHidden/>
          </w:rPr>
          <w:fldChar w:fldCharType="separate"/>
        </w:r>
        <w:r w:rsidR="003821C9">
          <w:rPr>
            <w:noProof/>
            <w:webHidden/>
          </w:rPr>
          <w:t>20</w:t>
        </w:r>
        <w:r w:rsidR="003821C9">
          <w:rPr>
            <w:noProof/>
            <w:webHidden/>
          </w:rPr>
          <w:fldChar w:fldCharType="end"/>
        </w:r>
      </w:hyperlink>
    </w:p>
    <w:p w:rsidR="00E764F4" w:rsidRPr="005A59FD" w:rsidRDefault="00E764F4" w:rsidP="00E764F4">
      <w:pPr>
        <w:pStyle w:val="a9"/>
        <w:rPr>
          <w:b w:val="0"/>
        </w:rPr>
      </w:pPr>
      <w:r>
        <w:rPr>
          <w:b w:val="0"/>
        </w:rPr>
        <w:fldChar w:fldCharType="end"/>
      </w:r>
    </w:p>
    <w:p w:rsidR="00CF3679" w:rsidRDefault="00CF3679" w:rsidP="004D56BF">
      <w:pPr>
        <w:pStyle w:val="1"/>
        <w:pageBreakBefore/>
        <w:jc w:val="left"/>
      </w:pPr>
      <w:bookmarkStart w:id="2" w:name="_Toc323139796"/>
      <w:bookmarkStart w:id="3" w:name="_Toc307824455"/>
      <w:bookmarkStart w:id="4" w:name="_Toc307915043"/>
      <w:bookmarkStart w:id="5" w:name="_Toc320898370"/>
      <w:r>
        <w:lastRenderedPageBreak/>
        <w:t>РЕЗЮМЕ</w:t>
      </w:r>
      <w:bookmarkEnd w:id="2"/>
    </w:p>
    <w:p w:rsidR="005F52C1" w:rsidRDefault="005F52C1" w:rsidP="005F52C1">
      <w:pPr>
        <w:ind w:firstLine="284"/>
      </w:pPr>
      <w:r w:rsidRPr="00CF3679">
        <w:t xml:space="preserve">По расчетам </w:t>
      </w:r>
      <w:r w:rsidRPr="00CF3679">
        <w:rPr>
          <w:bCs/>
          <w:lang w:val="en-US"/>
        </w:rPr>
        <w:t>DISCOVERY</w:t>
      </w:r>
      <w:r w:rsidRPr="00CF3679">
        <w:t xml:space="preserve"> </w:t>
      </w:r>
      <w:r w:rsidRPr="00CF3679">
        <w:rPr>
          <w:bCs/>
          <w:lang w:val="en-US"/>
        </w:rPr>
        <w:t>Research</w:t>
      </w:r>
      <w:r w:rsidRPr="00CF3679">
        <w:t xml:space="preserve"> </w:t>
      </w:r>
      <w:r w:rsidRPr="00CF3679">
        <w:rPr>
          <w:bCs/>
          <w:lang w:val="en-US"/>
        </w:rPr>
        <w:t>Group</w:t>
      </w:r>
      <w:r>
        <w:rPr>
          <w:bCs/>
        </w:rPr>
        <w:t xml:space="preserve"> в</w:t>
      </w:r>
      <w:r>
        <w:t xml:space="preserve"> стоимостном выражении объем рынка </w:t>
      </w:r>
      <w:r w:rsidRPr="00CF3679">
        <w:rPr>
          <w:bCs/>
        </w:rPr>
        <w:t xml:space="preserve">пластиковых окон </w:t>
      </w:r>
      <w:r>
        <w:t xml:space="preserve">в 2011 году составил 250,56 млрд. руб. </w:t>
      </w:r>
      <w:r>
        <w:rPr>
          <w:bCs/>
        </w:rPr>
        <w:t>Е</w:t>
      </w:r>
      <w:r w:rsidRPr="00CF3679">
        <w:rPr>
          <w:bCs/>
        </w:rPr>
        <w:t xml:space="preserve">сли рассматривать рынок окон «под ключ», то его объем </w:t>
      </w:r>
      <w:r>
        <w:rPr>
          <w:bCs/>
        </w:rPr>
        <w:t xml:space="preserve">в 2011 году </w:t>
      </w:r>
      <w:r w:rsidRPr="00CF3679">
        <w:rPr>
          <w:bCs/>
        </w:rPr>
        <w:t>составил 388,02 млрд. рублей.</w:t>
      </w:r>
      <w:r>
        <w:rPr>
          <w:bCs/>
        </w:rPr>
        <w:t xml:space="preserve"> </w:t>
      </w:r>
      <w:r>
        <w:t>В 2009 году объем рынка в стоимостном выражении составил 156,3 млрд. руб., падение относительно 2008 года составило 38%.</w:t>
      </w:r>
    </w:p>
    <w:p w:rsidR="005F52C1" w:rsidRPr="005F394A" w:rsidRDefault="005F52C1" w:rsidP="005F52C1">
      <w:pPr>
        <w:ind w:firstLine="284"/>
      </w:pPr>
      <w:r>
        <w:t>О</w:t>
      </w:r>
      <w:r w:rsidRPr="00CF3679">
        <w:rPr>
          <w:bCs/>
        </w:rPr>
        <w:t xml:space="preserve">бъем рынка пластиковых окон в 2011 году </w:t>
      </w:r>
      <w:r>
        <w:rPr>
          <w:bCs/>
        </w:rPr>
        <w:t xml:space="preserve">в натуральном выражении </w:t>
      </w:r>
      <w:r w:rsidRPr="00CF3679">
        <w:rPr>
          <w:bCs/>
        </w:rPr>
        <w:t xml:space="preserve">составил 52,8 млн. </w:t>
      </w:r>
      <w:proofErr w:type="spellStart"/>
      <w:r w:rsidRPr="00CF3679">
        <w:rPr>
          <w:bCs/>
        </w:rPr>
        <w:t>кв.м</w:t>
      </w:r>
      <w:proofErr w:type="spellEnd"/>
      <w:r>
        <w:rPr>
          <w:bCs/>
        </w:rPr>
        <w:t>.</w:t>
      </w:r>
    </w:p>
    <w:p w:rsidR="005F52C1" w:rsidRDefault="005F52C1" w:rsidP="005F52C1">
      <w:pPr>
        <w:ind w:firstLine="284"/>
      </w:pPr>
      <w:r>
        <w:t xml:space="preserve">В 2011 году игроки рынка ощутили на себе значительное усиление конкуренции в результате превышения предложения над спросом. </w:t>
      </w:r>
    </w:p>
    <w:p w:rsidR="005F52C1" w:rsidRDefault="005F52C1" w:rsidP="005F52C1">
      <w:pPr>
        <w:ind w:firstLine="284"/>
      </w:pPr>
      <w:r>
        <w:t>Одной из причин низкого роста рынка пластиковых окон  в России в 2011 году участники считают насыщение рынка. Также на снижение темпов роста влияет сокращение покупательской способности населения после 2008 г.</w:t>
      </w:r>
    </w:p>
    <w:p w:rsidR="005F52C1" w:rsidRPr="00CF628C" w:rsidRDefault="005F52C1" w:rsidP="005F52C1">
      <w:pPr>
        <w:ind w:firstLine="284"/>
        <w:rPr>
          <w:lang w:eastAsia="ru-RU"/>
        </w:rPr>
      </w:pPr>
      <w:r w:rsidRPr="008F7048">
        <w:rPr>
          <w:lang w:eastAsia="ru-RU"/>
        </w:rPr>
        <w:t>На оконном рынке крайне высокий уровень конкуренции. На данный момент цена на продукт столь низка, что она</w:t>
      </w:r>
      <w:r>
        <w:rPr>
          <w:lang w:eastAsia="ru-RU"/>
        </w:rPr>
        <w:t xml:space="preserve"> </w:t>
      </w:r>
      <w:r w:rsidRPr="008F7048">
        <w:rPr>
          <w:lang w:eastAsia="ru-RU"/>
        </w:rPr>
        <w:t xml:space="preserve">с трудом покрывает издержки. </w:t>
      </w:r>
    </w:p>
    <w:p w:rsidR="005F52C1" w:rsidRDefault="005F52C1" w:rsidP="005F52C1">
      <w:pPr>
        <w:ind w:firstLine="284"/>
        <w:contextualSpacing/>
        <w:rPr>
          <w:lang w:eastAsia="ru-RU"/>
        </w:rPr>
      </w:pPr>
      <w:r>
        <w:rPr>
          <w:lang w:eastAsia="ru-RU"/>
        </w:rPr>
        <w:t>И</w:t>
      </w:r>
      <w:r w:rsidRPr="00D42201">
        <w:rPr>
          <w:lang w:eastAsia="ru-RU"/>
        </w:rPr>
        <w:t>сследования покупателей окон</w:t>
      </w:r>
      <w:r>
        <w:rPr>
          <w:lang w:eastAsia="ru-RU"/>
        </w:rPr>
        <w:t xml:space="preserve"> </w:t>
      </w:r>
      <w:r w:rsidRPr="00D42201">
        <w:rPr>
          <w:lang w:eastAsia="ru-RU"/>
        </w:rPr>
        <w:t>показывают, что  в Москве и Петербурге интернет уже уверенно занимает первое место, как информационный носитель, при пои</w:t>
      </w:r>
      <w:r>
        <w:rPr>
          <w:lang w:eastAsia="ru-RU"/>
        </w:rPr>
        <w:t>ске и выборе оконной компании.</w:t>
      </w:r>
    </w:p>
    <w:p w:rsidR="00CF3679" w:rsidRDefault="005F52C1" w:rsidP="005F52C1">
      <w:pPr>
        <w:ind w:firstLine="284"/>
        <w:contextualSpacing/>
      </w:pPr>
      <w:r>
        <w:t xml:space="preserve">Во многих регионах отмечается </w:t>
      </w:r>
      <w:r w:rsidRPr="006F5ACD">
        <w:t>снижение качества остекления новостроек и других объектных заказов.</w:t>
      </w:r>
    </w:p>
    <w:p w:rsidR="005F52C1" w:rsidRDefault="005F52C1" w:rsidP="005F52C1">
      <w:pPr>
        <w:ind w:firstLine="284"/>
        <w:contextualSpacing/>
      </w:pPr>
      <w:r>
        <w:t>Рынок крайне не структурирован. Существует множество производителей оконных конструкций, как крупных, так и более мелких. Почти все они комплексно развивают ритейл: распространяют свою продукцию как через собственную сеть офисов, через официальных представителей в регионах, так и так и через независимых дилеров, которые в свою очередь могут представлять клиентам продукцию как от одного производителя, так и от нескольких.</w:t>
      </w:r>
      <w:r w:rsidR="00AD6B5B">
        <w:t xml:space="preserve"> Крупнейшие игроки на российском рынке пластиковых окон: «</w:t>
      </w:r>
      <w:proofErr w:type="spellStart"/>
      <w:r w:rsidR="00AD6B5B" w:rsidRPr="00AD6B5B">
        <w:t>Kaleva</w:t>
      </w:r>
      <w:proofErr w:type="spellEnd"/>
      <w:r w:rsidR="00AD6B5B">
        <w:t>», «</w:t>
      </w:r>
      <w:r w:rsidR="00AD6B5B" w:rsidRPr="00AD6B5B">
        <w:t>Московские окна</w:t>
      </w:r>
      <w:r w:rsidR="00AD6B5B">
        <w:t>», «</w:t>
      </w:r>
      <w:r w:rsidR="00AD6B5B" w:rsidRPr="00AD6B5B">
        <w:t>Хамелеон</w:t>
      </w:r>
      <w:r w:rsidR="00AD6B5B">
        <w:t>», «</w:t>
      </w:r>
      <w:proofErr w:type="spellStart"/>
      <w:r w:rsidR="00AD6B5B" w:rsidRPr="00AD6B5B">
        <w:t>Евроокна</w:t>
      </w:r>
      <w:proofErr w:type="spellEnd"/>
      <w:r w:rsidR="00AD6B5B">
        <w:t>», «</w:t>
      </w:r>
      <w:r w:rsidR="00AD6B5B" w:rsidRPr="00AD6B5B">
        <w:t>ЛЗСК Оконные системы</w:t>
      </w:r>
      <w:r w:rsidR="00AD6B5B">
        <w:t>», «</w:t>
      </w:r>
      <w:r w:rsidR="00AD6B5B" w:rsidRPr="00AD6B5B">
        <w:t xml:space="preserve">Липецк </w:t>
      </w:r>
      <w:r w:rsidR="00AD6B5B">
        <w:t>–</w:t>
      </w:r>
      <w:r w:rsidR="00AD6B5B" w:rsidRPr="00AD6B5B">
        <w:t xml:space="preserve"> </w:t>
      </w:r>
      <w:proofErr w:type="spellStart"/>
      <w:r w:rsidR="00AD6B5B" w:rsidRPr="00AD6B5B">
        <w:t>Книппинг</w:t>
      </w:r>
      <w:proofErr w:type="spellEnd"/>
      <w:r w:rsidR="00AD6B5B">
        <w:t>», «</w:t>
      </w:r>
      <w:r w:rsidR="00AD6B5B" w:rsidRPr="00AD6B5B">
        <w:t>Первый оконный завод</w:t>
      </w:r>
      <w:r w:rsidR="00AD6B5B">
        <w:t>», «</w:t>
      </w:r>
      <w:proofErr w:type="spellStart"/>
      <w:r w:rsidR="00AD6B5B" w:rsidRPr="00AD6B5B">
        <w:t>Спецремстрой</w:t>
      </w:r>
      <w:proofErr w:type="spellEnd"/>
      <w:r w:rsidR="00AD6B5B">
        <w:t>», «</w:t>
      </w:r>
      <w:r w:rsidR="00AD6B5B" w:rsidRPr="00AD6B5B">
        <w:t>БФК</w:t>
      </w:r>
      <w:r w:rsidR="00AD6B5B">
        <w:t>», «</w:t>
      </w:r>
      <w:proofErr w:type="spellStart"/>
      <w:r w:rsidR="00AD6B5B" w:rsidRPr="00AD6B5B">
        <w:t>Новолит</w:t>
      </w:r>
      <w:proofErr w:type="spellEnd"/>
      <w:r w:rsidR="00AD6B5B">
        <w:t>», «</w:t>
      </w:r>
      <w:proofErr w:type="spellStart"/>
      <w:r w:rsidR="00AD6B5B" w:rsidRPr="00AD6B5B">
        <w:t>Консиб</w:t>
      </w:r>
      <w:proofErr w:type="spellEnd"/>
      <w:r w:rsidR="00AD6B5B">
        <w:t>».</w:t>
      </w:r>
    </w:p>
    <w:p w:rsidR="00AD6B5B" w:rsidRDefault="00AD6B5B" w:rsidP="00AD6B5B">
      <w:pPr>
        <w:ind w:firstLine="284"/>
      </w:pPr>
      <w:r>
        <w:t xml:space="preserve">В 2012 году с большей вероятностью роста рынка не произойдет и его объем останется на прежнем уровне. </w:t>
      </w:r>
      <w:r w:rsidRPr="00181F55">
        <w:t>В 2012 году эксперты прогнозируют увеличение доли сегмента частных заказов до 65% от всего объема рынк</w:t>
      </w:r>
      <w:r>
        <w:t xml:space="preserve">а. </w:t>
      </w:r>
      <w:r>
        <w:rPr>
          <w:lang w:eastAsia="ru-RU"/>
        </w:rPr>
        <w:t>М</w:t>
      </w:r>
      <w:r w:rsidRPr="008F7048">
        <w:rPr>
          <w:lang w:eastAsia="ru-RU"/>
        </w:rPr>
        <w:t>ногие эксперты прогнозируют в 2012 г. еще большее падение цен и даже</w:t>
      </w:r>
      <w:r>
        <w:rPr>
          <w:lang w:eastAsia="ru-RU"/>
        </w:rPr>
        <w:t xml:space="preserve"> </w:t>
      </w:r>
      <w:r w:rsidRPr="008F7048">
        <w:rPr>
          <w:lang w:eastAsia="ru-RU"/>
        </w:rPr>
        <w:t xml:space="preserve">демпинг. </w:t>
      </w:r>
    </w:p>
    <w:p w:rsidR="00AD6B5B" w:rsidRPr="00AE0CB7" w:rsidRDefault="00AD6B5B" w:rsidP="00AD6B5B">
      <w:pPr>
        <w:ind w:firstLine="284"/>
      </w:pPr>
      <w:r w:rsidRPr="00181F55">
        <w:lastRenderedPageBreak/>
        <w:t>2012 год будет характеризоваться дальнейшим перераспределением объемов на рынке, усилением роли крупных и средних производителей СПК и уходом с рынка мелких компаний, чьи объемы будут распределяться между лидерами.</w:t>
      </w:r>
      <w:r w:rsidRPr="005E263F">
        <w:t xml:space="preserve"> </w:t>
      </w:r>
      <w:r w:rsidRPr="00AE0CB7">
        <w:t xml:space="preserve">Более того, </w:t>
      </w:r>
      <w:r>
        <w:t>в дальнейшем,</w:t>
      </w:r>
      <w:r w:rsidRPr="00AE0CB7">
        <w:t xml:space="preserve"> сокращение коснется и компаний средних размеров. </w:t>
      </w:r>
    </w:p>
    <w:p w:rsidR="00AD6B5B" w:rsidRPr="00CF3679" w:rsidRDefault="00AD6B5B" w:rsidP="005F52C1">
      <w:pPr>
        <w:ind w:firstLine="284"/>
        <w:contextualSpacing/>
        <w:rPr>
          <w:lang w:eastAsia="ru-RU"/>
        </w:rPr>
      </w:pPr>
    </w:p>
    <w:p w:rsidR="004D56BF" w:rsidRPr="00DE296A" w:rsidRDefault="004D56BF" w:rsidP="004D56BF">
      <w:pPr>
        <w:pStyle w:val="1"/>
        <w:pageBreakBefore/>
        <w:jc w:val="left"/>
      </w:pPr>
      <w:bookmarkStart w:id="6" w:name="_Toc323139797"/>
      <w:r w:rsidRPr="00DE296A">
        <w:lastRenderedPageBreak/>
        <w:t>ГЛАВА 1. ТЕХНОЛОГИЧЕСКИЕ ХАРАКТЕРИСТИКИ ИССЛЕДОВАНИЯ</w:t>
      </w:r>
      <w:bookmarkEnd w:id="3"/>
      <w:bookmarkEnd w:id="4"/>
      <w:bookmarkEnd w:id="5"/>
      <w:bookmarkEnd w:id="6"/>
    </w:p>
    <w:p w:rsidR="004D56BF" w:rsidRPr="00033841" w:rsidRDefault="004D56BF" w:rsidP="004D56BF">
      <w:pPr>
        <w:pStyle w:val="3"/>
      </w:pPr>
      <w:bookmarkStart w:id="7" w:name="_Toc286810402"/>
      <w:bookmarkStart w:id="8" w:name="_Toc286846716"/>
      <w:bookmarkStart w:id="9" w:name="_Toc287004786"/>
      <w:bookmarkStart w:id="10" w:name="_Toc287626819"/>
      <w:bookmarkStart w:id="11" w:name="_Toc287885757"/>
      <w:bookmarkStart w:id="12" w:name="_Toc304193216"/>
      <w:bookmarkStart w:id="13" w:name="_Toc306618670"/>
      <w:bookmarkStart w:id="14" w:name="_Toc307824456"/>
      <w:bookmarkStart w:id="15" w:name="_Toc307915044"/>
      <w:bookmarkStart w:id="16" w:name="_Toc320898371"/>
      <w:bookmarkStart w:id="17" w:name="_Toc323139798"/>
      <w:r w:rsidRPr="00033841">
        <w:t>Цель исследования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D56BF" w:rsidRPr="00DE296A" w:rsidRDefault="004D56BF" w:rsidP="004D56BF">
      <w:pPr>
        <w:pStyle w:val="31"/>
      </w:pPr>
      <w:r w:rsidRPr="00DE296A">
        <w:t>Оп</w:t>
      </w:r>
      <w:r>
        <w:t xml:space="preserve">ределить и описать ключевые показатели рынка </w:t>
      </w:r>
      <w:r w:rsidR="005A59FD">
        <w:t>пластиковых окон.</w:t>
      </w:r>
    </w:p>
    <w:p w:rsidR="004D56BF" w:rsidRPr="00033841" w:rsidRDefault="004D56BF" w:rsidP="004D56BF">
      <w:pPr>
        <w:pStyle w:val="3"/>
      </w:pPr>
      <w:bookmarkStart w:id="18" w:name="_Toc286810403"/>
      <w:bookmarkStart w:id="19" w:name="_Toc286846717"/>
      <w:bookmarkStart w:id="20" w:name="_Toc287004787"/>
      <w:bookmarkStart w:id="21" w:name="_Toc287626820"/>
      <w:bookmarkStart w:id="22" w:name="_Toc287885758"/>
      <w:bookmarkStart w:id="23" w:name="_Toc304193217"/>
      <w:bookmarkStart w:id="24" w:name="_Toc306618671"/>
      <w:bookmarkStart w:id="25" w:name="_Toc307824457"/>
      <w:bookmarkStart w:id="26" w:name="_Toc307915045"/>
      <w:bookmarkStart w:id="27" w:name="_Toc320898372"/>
      <w:bookmarkStart w:id="28" w:name="_Toc323139799"/>
      <w:r w:rsidRPr="00033841">
        <w:t>Задачи исследования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D56BF" w:rsidRDefault="004D56BF" w:rsidP="004D56BF">
      <w:pPr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1080"/>
      </w:pPr>
      <w:r w:rsidRPr="00DE296A">
        <w:t>Оп</w:t>
      </w:r>
      <w:r>
        <w:t xml:space="preserve">ределить </w:t>
      </w:r>
      <w:r>
        <w:rPr>
          <w:rFonts w:eastAsia="Times New Roman"/>
          <w:szCs w:val="24"/>
          <w:lang w:eastAsia="ru-RU"/>
        </w:rPr>
        <w:t>о</w:t>
      </w:r>
      <w:r w:rsidRPr="00CA7B8D">
        <w:rPr>
          <w:rFonts w:eastAsia="Times New Roman"/>
          <w:szCs w:val="24"/>
          <w:lang w:eastAsia="ru-RU"/>
        </w:rPr>
        <w:t>бъем и темпы роста рынка в 2008-2011 г.</w:t>
      </w:r>
    </w:p>
    <w:p w:rsidR="004D56BF" w:rsidRPr="00CA7B8D" w:rsidRDefault="004D56BF" w:rsidP="004D56BF">
      <w:pPr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1080"/>
      </w:pPr>
      <w:r>
        <w:t>Описать</w:t>
      </w:r>
      <w:r w:rsidRPr="00CA7B8D">
        <w:t xml:space="preserve"> </w:t>
      </w:r>
      <w:r>
        <w:rPr>
          <w:rFonts w:eastAsia="Times New Roman"/>
          <w:szCs w:val="24"/>
          <w:lang w:eastAsia="ru-RU"/>
        </w:rPr>
        <w:t>к</w:t>
      </w:r>
      <w:r w:rsidRPr="00CA7B8D">
        <w:rPr>
          <w:rFonts w:eastAsia="Times New Roman"/>
          <w:szCs w:val="24"/>
          <w:lang w:eastAsia="ru-RU"/>
        </w:rPr>
        <w:t>лючевые тренды и события на рынке</w:t>
      </w:r>
      <w:r>
        <w:rPr>
          <w:rFonts w:eastAsia="Times New Roman"/>
          <w:szCs w:val="24"/>
          <w:lang w:eastAsia="ru-RU"/>
        </w:rPr>
        <w:t>.</w:t>
      </w:r>
    </w:p>
    <w:p w:rsidR="004D56BF" w:rsidRPr="00DE296A" w:rsidRDefault="004D56BF" w:rsidP="004D56BF">
      <w:pPr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1080"/>
      </w:pPr>
      <w:r>
        <w:rPr>
          <w:rFonts w:eastAsia="Times New Roman"/>
          <w:szCs w:val="24"/>
          <w:lang w:eastAsia="ru-RU"/>
        </w:rPr>
        <w:t>Охарактеризовать к</w:t>
      </w:r>
      <w:r w:rsidRPr="00CA7B8D">
        <w:rPr>
          <w:rFonts w:eastAsia="Times New Roman"/>
          <w:szCs w:val="24"/>
          <w:lang w:eastAsia="ru-RU"/>
        </w:rPr>
        <w:t>лючевы</w:t>
      </w:r>
      <w:r>
        <w:rPr>
          <w:rFonts w:eastAsia="Times New Roman"/>
          <w:szCs w:val="24"/>
          <w:lang w:eastAsia="ru-RU"/>
        </w:rPr>
        <w:t>х</w:t>
      </w:r>
      <w:r w:rsidRPr="00CA7B8D">
        <w:rPr>
          <w:rFonts w:eastAsia="Times New Roman"/>
          <w:szCs w:val="24"/>
          <w:lang w:eastAsia="ru-RU"/>
        </w:rPr>
        <w:t xml:space="preserve"> игрок</w:t>
      </w:r>
      <w:r>
        <w:rPr>
          <w:rFonts w:eastAsia="Times New Roman"/>
          <w:szCs w:val="24"/>
          <w:lang w:eastAsia="ru-RU"/>
        </w:rPr>
        <w:t>ов</w:t>
      </w:r>
      <w:r w:rsidRPr="00CA7B8D">
        <w:rPr>
          <w:rFonts w:eastAsia="Times New Roman"/>
          <w:szCs w:val="24"/>
          <w:lang w:eastAsia="ru-RU"/>
        </w:rPr>
        <w:t xml:space="preserve"> (ритейлер</w:t>
      </w:r>
      <w:r>
        <w:rPr>
          <w:rFonts w:eastAsia="Times New Roman"/>
          <w:szCs w:val="24"/>
          <w:lang w:eastAsia="ru-RU"/>
        </w:rPr>
        <w:t>ов) на рынке.</w:t>
      </w:r>
    </w:p>
    <w:p w:rsidR="004D56BF" w:rsidRPr="00DE296A" w:rsidRDefault="004D56BF" w:rsidP="004D56BF">
      <w:pPr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1080"/>
      </w:pPr>
      <w:r w:rsidRPr="00DE296A">
        <w:t>Оп</w:t>
      </w:r>
      <w:r>
        <w:t>исать региональные особенности развития рынка.</w:t>
      </w:r>
    </w:p>
    <w:p w:rsidR="004D56BF" w:rsidRPr="00DE296A" w:rsidRDefault="004D56BF" w:rsidP="004D56BF">
      <w:pPr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1080"/>
      </w:pPr>
      <w:r>
        <w:t>Составить прогноз развития рынка на 2012 год.</w:t>
      </w:r>
    </w:p>
    <w:p w:rsidR="004D56BF" w:rsidRPr="005450A3" w:rsidRDefault="004D56BF" w:rsidP="005450A3">
      <w:pPr>
        <w:pStyle w:val="3"/>
      </w:pPr>
      <w:bookmarkStart w:id="29" w:name="_Toc304193218"/>
      <w:bookmarkStart w:id="30" w:name="_Toc306618672"/>
      <w:bookmarkStart w:id="31" w:name="_Toc307824458"/>
      <w:bookmarkStart w:id="32" w:name="_Toc307915046"/>
      <w:bookmarkStart w:id="33" w:name="_Toc320898373"/>
      <w:bookmarkStart w:id="34" w:name="_Toc323139800"/>
      <w:r w:rsidRPr="005450A3">
        <w:rPr>
          <w:rStyle w:val="20"/>
          <w:b/>
          <w:bCs/>
          <w:sz w:val="24"/>
          <w:szCs w:val="22"/>
        </w:rPr>
        <w:t>Объект  исследования</w:t>
      </w:r>
      <w:bookmarkEnd w:id="29"/>
      <w:bookmarkEnd w:id="30"/>
      <w:bookmarkEnd w:id="31"/>
      <w:bookmarkEnd w:id="32"/>
      <w:bookmarkEnd w:id="33"/>
      <w:bookmarkEnd w:id="34"/>
    </w:p>
    <w:p w:rsidR="004D56BF" w:rsidRPr="00DE296A" w:rsidRDefault="004D56BF" w:rsidP="004D56BF">
      <w:r w:rsidRPr="00DE296A">
        <w:t xml:space="preserve">Российский рынок </w:t>
      </w:r>
      <w:r w:rsidR="005450A3">
        <w:t>пластиковых окон</w:t>
      </w:r>
    </w:p>
    <w:p w:rsidR="00AD6B5B" w:rsidRPr="0019742B" w:rsidRDefault="00AD6B5B" w:rsidP="00AD6B5B">
      <w:pPr>
        <w:pStyle w:val="3"/>
      </w:pPr>
      <w:bookmarkStart w:id="35" w:name="_Toc286810406"/>
      <w:bookmarkStart w:id="36" w:name="_Toc286846720"/>
      <w:bookmarkStart w:id="37" w:name="_Toc287004789"/>
      <w:bookmarkStart w:id="38" w:name="_Toc287626821"/>
      <w:bookmarkStart w:id="39" w:name="_Toc287885759"/>
      <w:bookmarkStart w:id="40" w:name="_Toc304193219"/>
      <w:bookmarkStart w:id="41" w:name="_Toc306618673"/>
      <w:bookmarkStart w:id="42" w:name="_Toc307824459"/>
      <w:bookmarkStart w:id="43" w:name="_Toc316548466"/>
      <w:bookmarkStart w:id="44" w:name="_Toc323028300"/>
      <w:bookmarkStart w:id="45" w:name="_Toc323139801"/>
      <w:r w:rsidRPr="0019742B">
        <w:t>Метод сбора информации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D6B5B" w:rsidRPr="0019742B" w:rsidRDefault="00AD6B5B" w:rsidP="00AD6B5B">
      <w:pPr>
        <w:pStyle w:val="31"/>
      </w:pPr>
      <w:bookmarkStart w:id="46" w:name="_Toc51736050"/>
      <w:r w:rsidRPr="0019742B"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19742B">
        <w:t>Re</w:t>
      </w:r>
      <w:bookmarkEnd w:id="46"/>
      <w:smartTag w:uri="urn:schemas-microsoft-com:office:smarttags" w:element="PersonName">
        <w:r w:rsidRPr="0019742B">
          <w:t>s</w:t>
        </w:r>
      </w:smartTag>
      <w:r w:rsidRPr="0019742B">
        <w:t>earch</w:t>
      </w:r>
      <w:proofErr w:type="spellEnd"/>
      <w:r w:rsidRPr="0019742B">
        <w:t xml:space="preserve"> </w:t>
      </w:r>
      <w:proofErr w:type="spellStart"/>
      <w:r w:rsidRPr="0019742B">
        <w:t>Group</w:t>
      </w:r>
      <w:proofErr w:type="spellEnd"/>
      <w:r w:rsidRPr="0019742B">
        <w:t>.</w:t>
      </w:r>
    </w:p>
    <w:p w:rsidR="00AD6B5B" w:rsidRDefault="00AD6B5B" w:rsidP="00AD6B5B">
      <w:pPr>
        <w:pStyle w:val="3"/>
        <w:rPr>
          <w:sz w:val="28"/>
          <w:szCs w:val="28"/>
        </w:rPr>
      </w:pPr>
      <w:bookmarkStart w:id="47" w:name="_Toc306618674"/>
      <w:bookmarkStart w:id="48" w:name="_Toc307824460"/>
      <w:bookmarkStart w:id="49" w:name="_Toc316548467"/>
      <w:bookmarkStart w:id="50" w:name="_Toc323028301"/>
      <w:bookmarkStart w:id="51" w:name="_Toc323139802"/>
      <w:r w:rsidRPr="0019742B">
        <w:t>Метод анализа данных</w:t>
      </w:r>
      <w:bookmarkEnd w:id="47"/>
      <w:bookmarkEnd w:id="48"/>
      <w:bookmarkEnd w:id="49"/>
      <w:bookmarkEnd w:id="50"/>
      <w:bookmarkEnd w:id="51"/>
    </w:p>
    <w:p w:rsidR="00AD6B5B" w:rsidRPr="0019742B" w:rsidRDefault="00AD6B5B" w:rsidP="00AD6B5B">
      <w:pPr>
        <w:pStyle w:val="a3"/>
        <w:spacing w:before="0" w:after="0" w:line="360" w:lineRule="auto"/>
        <w:rPr>
          <w:color w:val="943634"/>
          <w:sz w:val="28"/>
          <w:szCs w:val="28"/>
        </w:rPr>
      </w:pPr>
      <w:proofErr w:type="gramStart"/>
      <w:r w:rsidRPr="0019742B">
        <w:t>Традиционный</w:t>
      </w:r>
      <w:proofErr w:type="gramEnd"/>
      <w:r w:rsidRPr="0019742B">
        <w:t xml:space="preserve"> контент-анализ документов</w:t>
      </w:r>
      <w:r w:rsidRPr="0019742B">
        <w:rPr>
          <w:sz w:val="28"/>
          <w:szCs w:val="28"/>
        </w:rPr>
        <w:t>.</w:t>
      </w:r>
      <w:r w:rsidRPr="0019742B">
        <w:rPr>
          <w:color w:val="943634"/>
          <w:sz w:val="28"/>
          <w:szCs w:val="28"/>
        </w:rPr>
        <w:t xml:space="preserve"> </w:t>
      </w:r>
    </w:p>
    <w:p w:rsidR="00AD6B5B" w:rsidRPr="0019742B" w:rsidRDefault="00AD6B5B" w:rsidP="00AD6B5B">
      <w:pPr>
        <w:pStyle w:val="3"/>
      </w:pPr>
      <w:bookmarkStart w:id="52" w:name="_Toc247938756"/>
      <w:bookmarkStart w:id="53" w:name="_Toc248037291"/>
      <w:bookmarkStart w:id="54" w:name="_Toc287885760"/>
      <w:bookmarkStart w:id="55" w:name="_Toc304193220"/>
      <w:bookmarkStart w:id="56" w:name="_Toc306618675"/>
      <w:bookmarkStart w:id="57" w:name="_Toc307824461"/>
      <w:bookmarkStart w:id="58" w:name="_Toc316548468"/>
      <w:bookmarkStart w:id="59" w:name="_Toc323028302"/>
      <w:bookmarkStart w:id="60" w:name="_Toc323139803"/>
      <w:r w:rsidRPr="0019742B">
        <w:t xml:space="preserve">Информационная </w:t>
      </w:r>
      <w:r>
        <w:t>б</w:t>
      </w:r>
      <w:r w:rsidRPr="0019742B">
        <w:t xml:space="preserve">аза </w:t>
      </w:r>
      <w:r>
        <w:t>и</w:t>
      </w:r>
      <w:r w:rsidRPr="0019742B">
        <w:t>сследования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1.</w:t>
      </w:r>
      <w:r w:rsidRPr="0019742B">
        <w:rPr>
          <w:rFonts w:eastAsia="Calibri" w:cs="Times New Roman"/>
        </w:rPr>
        <w:tab/>
        <w:t>Печатные и электронные, деловые и специализированные издания.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2.</w:t>
      </w:r>
      <w:r w:rsidRPr="0019742B">
        <w:rPr>
          <w:rFonts w:eastAsia="Calibri" w:cs="Times New Roman"/>
        </w:rPr>
        <w:tab/>
        <w:t>Ресурсы сети Интернет.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3.</w:t>
      </w:r>
      <w:r w:rsidRPr="0019742B">
        <w:rPr>
          <w:rFonts w:eastAsia="Calibri" w:cs="Times New Roman"/>
        </w:rPr>
        <w:tab/>
        <w:t>Материалы компаний.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4.</w:t>
      </w:r>
      <w:r w:rsidRPr="0019742B">
        <w:rPr>
          <w:rFonts w:eastAsia="Calibri" w:cs="Times New Roman"/>
        </w:rPr>
        <w:tab/>
        <w:t>Аналитические обзорные статьи в прессе.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5.</w:t>
      </w:r>
      <w:r w:rsidRPr="0019742B">
        <w:rPr>
          <w:rFonts w:eastAsia="Calibri" w:cs="Times New Roman"/>
        </w:rPr>
        <w:tab/>
        <w:t>Результаты исследований маркетинговых и консалтинговых агентств.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6.</w:t>
      </w:r>
      <w:r w:rsidRPr="0019742B">
        <w:rPr>
          <w:rFonts w:eastAsia="Calibri" w:cs="Times New Roman"/>
        </w:rPr>
        <w:tab/>
        <w:t>Экспертные оценки.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7.</w:t>
      </w:r>
      <w:r w:rsidRPr="0019742B">
        <w:rPr>
          <w:rFonts w:eastAsia="Calibri" w:cs="Times New Roman"/>
        </w:rPr>
        <w:tab/>
        <w:t>Интервью с производителями и другими участниками рынка.</w:t>
      </w:r>
    </w:p>
    <w:p w:rsidR="00AD6B5B" w:rsidRPr="0019742B" w:rsidRDefault="00AD6B5B" w:rsidP="00AD6B5B">
      <w:pPr>
        <w:pStyle w:val="21"/>
        <w:spacing w:line="360" w:lineRule="auto"/>
        <w:ind w:left="284" w:hanging="40"/>
        <w:contextualSpacing/>
        <w:rPr>
          <w:rFonts w:eastAsia="Calibri" w:cs="Times New Roman"/>
        </w:rPr>
      </w:pPr>
      <w:r w:rsidRPr="0019742B">
        <w:rPr>
          <w:rFonts w:eastAsia="Calibri" w:cs="Times New Roman"/>
        </w:rPr>
        <w:t>8.</w:t>
      </w:r>
      <w:r w:rsidRPr="0019742B">
        <w:rPr>
          <w:rFonts w:eastAsia="Calibri" w:cs="Times New Roman"/>
        </w:rPr>
        <w:tab/>
        <w:t>Материалы отраслевых учреждений и базы данных.</w:t>
      </w:r>
    </w:p>
    <w:p w:rsidR="00AD6B5B" w:rsidRPr="00B84D83" w:rsidRDefault="00AD6B5B" w:rsidP="00AD6B5B">
      <w:pPr>
        <w:pStyle w:val="21"/>
        <w:spacing w:line="360" w:lineRule="auto"/>
        <w:ind w:left="284" w:hanging="40"/>
        <w:contextualSpacing/>
        <w:rPr>
          <w:rFonts w:cs="Times New Roman"/>
          <w:lang w:val="en-US"/>
        </w:rPr>
      </w:pPr>
      <w:r w:rsidRPr="0019742B">
        <w:rPr>
          <w:rFonts w:eastAsia="Calibri" w:cs="Times New Roman"/>
          <w:lang w:val="en-US"/>
        </w:rPr>
        <w:t>9.</w:t>
      </w:r>
      <w:r w:rsidRPr="0019742B">
        <w:rPr>
          <w:rFonts w:eastAsia="Calibri" w:cs="Times New Roman"/>
          <w:lang w:val="en-US"/>
        </w:rPr>
        <w:tab/>
      </w:r>
      <w:r w:rsidRPr="0019742B">
        <w:rPr>
          <w:rFonts w:eastAsia="Calibri" w:cs="Times New Roman"/>
        </w:rPr>
        <w:t>Базы</w:t>
      </w:r>
      <w:r w:rsidRPr="0019742B">
        <w:rPr>
          <w:rFonts w:eastAsia="Calibri" w:cs="Times New Roman"/>
          <w:lang w:val="en-US"/>
        </w:rPr>
        <w:t xml:space="preserve"> </w:t>
      </w:r>
      <w:r w:rsidRPr="0019742B">
        <w:rPr>
          <w:rFonts w:eastAsia="Calibri" w:cs="Times New Roman"/>
        </w:rPr>
        <w:t>данных</w:t>
      </w:r>
      <w:r w:rsidRPr="0019742B">
        <w:rPr>
          <w:rFonts w:eastAsia="Calibri" w:cs="Times New Roman"/>
          <w:lang w:val="en-US"/>
        </w:rPr>
        <w:t xml:space="preserve"> Discovery Research Group.</w:t>
      </w:r>
    </w:p>
    <w:p w:rsidR="004D56BF" w:rsidRPr="00AD6B5B" w:rsidRDefault="004D56BF" w:rsidP="004D56BF">
      <w:pPr>
        <w:rPr>
          <w:lang w:val="en-US"/>
        </w:rPr>
      </w:pPr>
    </w:p>
    <w:p w:rsidR="00B95AD4" w:rsidRPr="00AD6B5B" w:rsidRDefault="00B95AD4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AD6B5B">
        <w:rPr>
          <w:lang w:val="en-US"/>
        </w:rPr>
        <w:br w:type="page"/>
      </w:r>
    </w:p>
    <w:p w:rsidR="00FA19B0" w:rsidRDefault="00665986" w:rsidP="00FA19B0">
      <w:pPr>
        <w:pStyle w:val="1"/>
      </w:pPr>
      <w:bookmarkStart w:id="61" w:name="_Toc323139804"/>
      <w:r>
        <w:lastRenderedPageBreak/>
        <w:t xml:space="preserve">ГЛАВА </w:t>
      </w:r>
      <w:r w:rsidR="004D56BF">
        <w:t>2</w:t>
      </w:r>
      <w:r>
        <w:t xml:space="preserve">. ОБЪЕМ И ТЕМПЫ РОСТА РЫНКА В </w:t>
      </w:r>
      <w:r>
        <w:rPr>
          <w:rStyle w:val="wmi-callto"/>
        </w:rPr>
        <w:t>2008-2011</w:t>
      </w:r>
      <w:r>
        <w:t xml:space="preserve"> Г.</w:t>
      </w:r>
      <w:bookmarkEnd w:id="61"/>
    </w:p>
    <w:p w:rsidR="00235FC8" w:rsidRDefault="00235FC8" w:rsidP="00235FC8"/>
    <w:p w:rsidR="00235FC8" w:rsidRDefault="002A3176" w:rsidP="00E764F4">
      <w:pPr>
        <w:ind w:firstLine="284"/>
      </w:pPr>
      <w:r>
        <w:t>Согласно расчетам</w:t>
      </w:r>
      <w:r w:rsidR="00B57089">
        <w:t xml:space="preserve"> </w:t>
      </w:r>
      <w:r w:rsidR="003C429A">
        <w:t>профильных специалистов</w:t>
      </w:r>
      <w:r w:rsidR="00B57089">
        <w:t>, основанным на данных компаний-производителей и экспертных оценках игроков рынка, в</w:t>
      </w:r>
      <w:r w:rsidR="00235FC8">
        <w:t xml:space="preserve"> 2006 году темпы роста рынка достигли своего пика, в 2007 году под влиянием различных факторов рост рынка уменьшился. В 2008 году рост рынка снизился за счет влияния экономического спада. В 2009 году, </w:t>
      </w:r>
      <w:r w:rsidR="00413038">
        <w:t>под влиянием падения спроса вследствие</w:t>
      </w:r>
      <w:r w:rsidR="00235FC8">
        <w:t xml:space="preserve"> экономического кризиса произошло сокращение рынка </w:t>
      </w:r>
      <w:proofErr w:type="gramStart"/>
      <w:r w:rsidR="00235FC8">
        <w:t>на</w:t>
      </w:r>
      <w:proofErr w:type="gramEnd"/>
      <w:r w:rsidR="00235FC8">
        <w:t xml:space="preserve"> </w:t>
      </w:r>
      <w:r w:rsidR="000B09BE">
        <w:t>…</w:t>
      </w:r>
      <w:r w:rsidR="00235FC8">
        <w:t>%</w:t>
      </w:r>
      <w:r w:rsidR="002362CB">
        <w:t xml:space="preserve"> </w:t>
      </w:r>
      <w:proofErr w:type="gramStart"/>
      <w:r w:rsidR="002362CB">
        <w:t>в</w:t>
      </w:r>
      <w:proofErr w:type="gramEnd"/>
      <w:r w:rsidR="002362CB">
        <w:t xml:space="preserve"> натуральном в</w:t>
      </w:r>
      <w:r w:rsidR="005450A3">
        <w:t>ы</w:t>
      </w:r>
      <w:r w:rsidR="002362CB">
        <w:t>р</w:t>
      </w:r>
      <w:r w:rsidR="005450A3">
        <w:t>ажении</w:t>
      </w:r>
      <w:r w:rsidR="00235FC8">
        <w:t xml:space="preserve">, в 2010 году рост рынка пластиковых окон составил </w:t>
      </w:r>
      <w:r w:rsidR="000B09BE">
        <w:t>…</w:t>
      </w:r>
      <w:r w:rsidR="00235FC8">
        <w:t xml:space="preserve">%, но объем </w:t>
      </w:r>
      <w:r w:rsidR="005450A3">
        <w:t>рынка не вышел на</w:t>
      </w:r>
      <w:r w:rsidR="00235FC8">
        <w:t xml:space="preserve"> докризисный </w:t>
      </w:r>
      <w:r w:rsidR="005450A3">
        <w:t>уровень</w:t>
      </w:r>
      <w:r w:rsidR="00235FC8">
        <w:t xml:space="preserve">. В 2011 году объем рынка составил </w:t>
      </w:r>
      <w:r w:rsidR="000B09BE">
        <w:t>…</w:t>
      </w:r>
      <w:r w:rsidR="00235FC8">
        <w:t xml:space="preserve"> </w:t>
      </w:r>
      <w:proofErr w:type="spellStart"/>
      <w:r w:rsidR="00235FC8">
        <w:t>млн.кв.м</w:t>
      </w:r>
      <w:proofErr w:type="spellEnd"/>
      <w:r w:rsidR="00235FC8">
        <w:t xml:space="preserve">., что больше, чем в 2010 году на </w:t>
      </w:r>
      <w:r w:rsidR="000B09BE">
        <w:t>…</w:t>
      </w:r>
      <w:r w:rsidR="00235FC8">
        <w:t>%</w:t>
      </w:r>
      <w:r w:rsidR="00E61C84">
        <w:t xml:space="preserve">, но все </w:t>
      </w:r>
      <w:r w:rsidR="005450A3">
        <w:t>еще</w:t>
      </w:r>
      <w:r w:rsidR="00E61C84">
        <w:t xml:space="preserve"> </w:t>
      </w:r>
      <w:r w:rsidR="005450A3">
        <w:t>ниже</w:t>
      </w:r>
      <w:r w:rsidR="00E61C84">
        <w:t xml:space="preserve"> докризисного уровня.</w:t>
      </w:r>
    </w:p>
    <w:p w:rsidR="00235FC8" w:rsidRDefault="00AD6B5B" w:rsidP="00AD6B5B">
      <w:pPr>
        <w:pStyle w:val="a9"/>
      </w:pPr>
      <w:bookmarkStart w:id="62" w:name="_Toc323139823"/>
      <w:r>
        <w:t xml:space="preserve">Диаграмма </w:t>
      </w:r>
      <w:r w:rsidR="00AC6908">
        <w:fldChar w:fldCharType="begin"/>
      </w:r>
      <w:r w:rsidR="00AC6908">
        <w:instrText xml:space="preserve"> SEQ Диаграмма \* ARABIC </w:instrText>
      </w:r>
      <w:r w:rsidR="00AC6908">
        <w:fldChar w:fldCharType="separate"/>
      </w:r>
      <w:r>
        <w:rPr>
          <w:noProof/>
        </w:rPr>
        <w:t>1</w:t>
      </w:r>
      <w:r w:rsidR="00AC6908">
        <w:rPr>
          <w:noProof/>
        </w:rPr>
        <w:fldChar w:fldCharType="end"/>
      </w:r>
      <w:r>
        <w:t xml:space="preserve">. </w:t>
      </w:r>
      <w:r w:rsidR="00235FC8">
        <w:t xml:space="preserve">Объем и темп роста российского рынка пластиковых окон  в 2006-2011 </w:t>
      </w:r>
      <w:proofErr w:type="spellStart"/>
      <w:proofErr w:type="gramStart"/>
      <w:r w:rsidR="00235FC8">
        <w:t>гг</w:t>
      </w:r>
      <w:proofErr w:type="spellEnd"/>
      <w:proofErr w:type="gramEnd"/>
      <w:r w:rsidR="005F0F96">
        <w:t xml:space="preserve"> по данным отраслевого центра О.К.Н.А. Маркетинг</w:t>
      </w:r>
      <w:r w:rsidR="00235FC8">
        <w:t xml:space="preserve">,  млн. </w:t>
      </w:r>
      <w:proofErr w:type="spellStart"/>
      <w:r w:rsidR="00235FC8">
        <w:t>кв.м</w:t>
      </w:r>
      <w:proofErr w:type="spellEnd"/>
      <w:r w:rsidR="00235FC8">
        <w:t>.</w:t>
      </w:r>
      <w:bookmarkEnd w:id="62"/>
    </w:p>
    <w:p w:rsidR="005450A3" w:rsidRDefault="005450A3" w:rsidP="00E764F4">
      <w:pPr>
        <w:ind w:firstLine="284"/>
      </w:pPr>
      <w:r>
        <w:t>В стоимостном выражении</w:t>
      </w:r>
      <w:r w:rsidR="00B543F6">
        <w:t xml:space="preserve"> объем рынка в 2</w:t>
      </w:r>
      <w:r w:rsidR="00123B6D">
        <w:t xml:space="preserve">011 году составил </w:t>
      </w:r>
      <w:r w:rsidR="000B09BE">
        <w:t>…</w:t>
      </w:r>
      <w:r w:rsidR="00123B6D">
        <w:t xml:space="preserve"> млрд. руб., что больше, чем в 2010 году на </w:t>
      </w:r>
      <w:r w:rsidR="000B09BE">
        <w:t>…</w:t>
      </w:r>
      <w:r w:rsidR="00123B6D">
        <w:t xml:space="preserve">%. В 2009 году объем рынка в стоимостном выражении составил </w:t>
      </w:r>
      <w:r w:rsidR="000B09BE">
        <w:t>…</w:t>
      </w:r>
      <w:r w:rsidR="00123B6D">
        <w:t xml:space="preserve"> млрд. руб., падение относительно 2008 года составило </w:t>
      </w:r>
      <w:r w:rsidR="000B09BE">
        <w:t>…</w:t>
      </w:r>
      <w:r w:rsidR="00123B6D">
        <w:t>%.</w:t>
      </w:r>
    </w:p>
    <w:p w:rsidR="005158CF" w:rsidRDefault="005158CF" w:rsidP="00BE11EC">
      <w:pPr>
        <w:pStyle w:val="a9"/>
        <w:keepNext/>
      </w:pPr>
      <w:bookmarkStart w:id="63" w:name="_Toc323139824"/>
      <w:r>
        <w:t xml:space="preserve">Диаграмма </w:t>
      </w:r>
      <w:r w:rsidR="00AC6908">
        <w:fldChar w:fldCharType="begin"/>
      </w:r>
      <w:r w:rsidR="00AC6908">
        <w:instrText xml:space="preserve"> SEQ Диаграмма \* ARABIC </w:instrText>
      </w:r>
      <w:r w:rsidR="00AC6908">
        <w:fldChar w:fldCharType="separate"/>
      </w:r>
      <w:r w:rsidR="00AD6B5B">
        <w:rPr>
          <w:noProof/>
        </w:rPr>
        <w:t>2</w:t>
      </w:r>
      <w:r w:rsidR="00AC6908">
        <w:rPr>
          <w:noProof/>
        </w:rPr>
        <w:fldChar w:fldCharType="end"/>
      </w:r>
      <w:r>
        <w:t xml:space="preserve">. Объем </w:t>
      </w:r>
      <w:r w:rsidR="004D56BF">
        <w:t xml:space="preserve">и темп роста российского </w:t>
      </w:r>
      <w:r>
        <w:t>рынка</w:t>
      </w:r>
      <w:r w:rsidR="004D56BF">
        <w:t xml:space="preserve"> пластиковых окон  в 2006-2011 </w:t>
      </w:r>
      <w:proofErr w:type="spellStart"/>
      <w:proofErr w:type="gramStart"/>
      <w:r w:rsidR="004D56BF">
        <w:t>гг</w:t>
      </w:r>
      <w:proofErr w:type="spellEnd"/>
      <w:proofErr w:type="gramEnd"/>
      <w:r w:rsidR="004D56BF">
        <w:t>,  млрд. руб.</w:t>
      </w:r>
      <w:bookmarkEnd w:id="63"/>
    </w:p>
    <w:p w:rsidR="00CB6066" w:rsidRDefault="00CB6066" w:rsidP="00CB6066">
      <w:pPr>
        <w:rPr>
          <w:noProof/>
          <w:lang w:eastAsia="ru-RU"/>
        </w:rPr>
      </w:pPr>
    </w:p>
    <w:p w:rsidR="000B09BE" w:rsidRDefault="000B09BE" w:rsidP="00CB6066">
      <w:pPr>
        <w:rPr>
          <w:noProof/>
          <w:lang w:eastAsia="ru-RU"/>
        </w:rPr>
      </w:pPr>
    </w:p>
    <w:p w:rsidR="000B09BE" w:rsidRDefault="000B09BE" w:rsidP="00CB6066">
      <w:pPr>
        <w:rPr>
          <w:noProof/>
          <w:lang w:eastAsia="ru-RU"/>
        </w:rPr>
      </w:pPr>
    </w:p>
    <w:p w:rsidR="000B09BE" w:rsidRDefault="000B09BE" w:rsidP="00CB6066">
      <w:pPr>
        <w:rPr>
          <w:noProof/>
          <w:lang w:eastAsia="ru-RU"/>
        </w:rPr>
      </w:pPr>
    </w:p>
    <w:p w:rsidR="000B09BE" w:rsidRDefault="000B09BE" w:rsidP="00CB6066"/>
    <w:p w:rsidR="000B09BE" w:rsidRDefault="000B09BE" w:rsidP="00E764F4">
      <w:pPr>
        <w:ind w:firstLine="284"/>
        <w:rPr>
          <w:b/>
          <w:sz w:val="20"/>
        </w:rPr>
      </w:pPr>
    </w:p>
    <w:p w:rsidR="000B09BE" w:rsidRDefault="000B09BE" w:rsidP="00E764F4">
      <w:pPr>
        <w:ind w:firstLine="284"/>
        <w:rPr>
          <w:b/>
          <w:sz w:val="20"/>
        </w:rPr>
      </w:pPr>
    </w:p>
    <w:p w:rsidR="00123B6D" w:rsidRPr="00CB6066" w:rsidRDefault="00123B6D" w:rsidP="00E764F4">
      <w:pPr>
        <w:ind w:firstLine="284"/>
      </w:pPr>
      <w:r>
        <w:t>Если рассматривать рынок пластиковых окон в комплексе со всеми услугами, которые предлагаютс</w:t>
      </w:r>
      <w:r w:rsidR="00681089">
        <w:t xml:space="preserve">я компаниями </w:t>
      </w:r>
      <w:proofErr w:type="spellStart"/>
      <w:r w:rsidR="00681089">
        <w:t>ри</w:t>
      </w:r>
      <w:r>
        <w:t>тейлерами</w:t>
      </w:r>
      <w:proofErr w:type="spellEnd"/>
      <w:r w:rsidR="00681089">
        <w:t xml:space="preserve"> (демонтаж, установка окна, отделка откосов и пр.), т.е. рынок окон «под ключ», то его объем в 2011 году составил </w:t>
      </w:r>
      <w:r w:rsidR="000B09BE">
        <w:t>…</w:t>
      </w:r>
      <w:r w:rsidR="00681089">
        <w:t xml:space="preserve"> млрд. руб., что так же больше, чем в 2010 году </w:t>
      </w:r>
      <w:proofErr w:type="gramStart"/>
      <w:r w:rsidR="00681089">
        <w:t>на</w:t>
      </w:r>
      <w:proofErr w:type="gramEnd"/>
      <w:r w:rsidR="00681089">
        <w:t xml:space="preserve"> </w:t>
      </w:r>
      <w:r w:rsidR="000B09BE">
        <w:t>…</w:t>
      </w:r>
      <w:r w:rsidR="00681089">
        <w:t xml:space="preserve">%. </w:t>
      </w:r>
    </w:p>
    <w:p w:rsidR="004D56BF" w:rsidRDefault="004D56BF" w:rsidP="004D56BF">
      <w:pPr>
        <w:pStyle w:val="a9"/>
      </w:pPr>
      <w:bookmarkStart w:id="64" w:name="_Toc323139825"/>
      <w:r>
        <w:t xml:space="preserve">Диаграмма </w:t>
      </w:r>
      <w:r w:rsidR="00AC6908">
        <w:fldChar w:fldCharType="begin"/>
      </w:r>
      <w:r w:rsidR="00AC6908">
        <w:instrText xml:space="preserve"> SEQ Диаграмма \* ARABIC </w:instrText>
      </w:r>
      <w:r w:rsidR="00AC6908">
        <w:fldChar w:fldCharType="separate"/>
      </w:r>
      <w:r w:rsidR="00AD6B5B">
        <w:rPr>
          <w:noProof/>
        </w:rPr>
        <w:t>3</w:t>
      </w:r>
      <w:r w:rsidR="00AC6908">
        <w:rPr>
          <w:noProof/>
        </w:rPr>
        <w:fldChar w:fldCharType="end"/>
      </w:r>
      <w:r>
        <w:t xml:space="preserve">. Объем и темп роста российского рынка пластиковых окон включая услуги по установке («под ключ») в 2006-2011 </w:t>
      </w:r>
      <w:proofErr w:type="spellStart"/>
      <w:proofErr w:type="gramStart"/>
      <w:r>
        <w:t>гг</w:t>
      </w:r>
      <w:proofErr w:type="spellEnd"/>
      <w:proofErr w:type="gramEnd"/>
      <w:r>
        <w:t>,  млрд. руб.</w:t>
      </w:r>
      <w:bookmarkEnd w:id="64"/>
    </w:p>
    <w:p w:rsidR="000B09BE" w:rsidRDefault="000B09BE" w:rsidP="00E764F4">
      <w:pPr>
        <w:ind w:firstLine="284"/>
      </w:pPr>
    </w:p>
    <w:p w:rsidR="000B09BE" w:rsidRDefault="000B09BE" w:rsidP="00E764F4">
      <w:pPr>
        <w:ind w:firstLine="284"/>
      </w:pPr>
    </w:p>
    <w:p w:rsidR="000B09BE" w:rsidRDefault="000B09BE" w:rsidP="00E764F4">
      <w:pPr>
        <w:ind w:firstLine="284"/>
      </w:pPr>
    </w:p>
    <w:p w:rsidR="000B09BE" w:rsidRDefault="000B09BE" w:rsidP="00E764F4">
      <w:pPr>
        <w:ind w:firstLine="284"/>
      </w:pPr>
    </w:p>
    <w:p w:rsidR="000B09BE" w:rsidRDefault="000B09BE" w:rsidP="00E764F4">
      <w:pPr>
        <w:ind w:firstLine="284"/>
      </w:pPr>
    </w:p>
    <w:p w:rsidR="000B09BE" w:rsidRDefault="000B09BE" w:rsidP="00E764F4">
      <w:pPr>
        <w:ind w:firstLine="284"/>
      </w:pPr>
    </w:p>
    <w:p w:rsidR="005F0F96" w:rsidRPr="005F394A" w:rsidRDefault="005F0F96" w:rsidP="00E764F4">
      <w:pPr>
        <w:ind w:firstLine="284"/>
      </w:pPr>
      <w:r w:rsidRPr="00CF3679">
        <w:t xml:space="preserve">По расчетам </w:t>
      </w:r>
      <w:r w:rsidR="005F394A" w:rsidRPr="00CF3679">
        <w:rPr>
          <w:bCs/>
          <w:lang w:val="en-US"/>
        </w:rPr>
        <w:t>DISCOVERY</w:t>
      </w:r>
      <w:r w:rsidR="005F394A" w:rsidRPr="00CF3679">
        <w:t xml:space="preserve"> </w:t>
      </w:r>
      <w:r w:rsidR="005F394A" w:rsidRPr="00CF3679">
        <w:rPr>
          <w:bCs/>
          <w:lang w:val="en-US"/>
        </w:rPr>
        <w:t>Research</w:t>
      </w:r>
      <w:r w:rsidR="005F394A" w:rsidRPr="00CF3679">
        <w:t xml:space="preserve"> </w:t>
      </w:r>
      <w:r w:rsidR="005F394A" w:rsidRPr="00CF3679">
        <w:rPr>
          <w:bCs/>
          <w:lang w:val="en-US"/>
        </w:rPr>
        <w:t>Group</w:t>
      </w:r>
      <w:r w:rsidR="005F394A" w:rsidRPr="00CF3679">
        <w:rPr>
          <w:bCs/>
        </w:rPr>
        <w:t xml:space="preserve"> объем рынка пластиковых окон в 2011 году составил </w:t>
      </w:r>
      <w:r w:rsidR="000B09BE">
        <w:rPr>
          <w:bCs/>
        </w:rPr>
        <w:t>…</w:t>
      </w:r>
      <w:r w:rsidR="005F394A" w:rsidRPr="00CF3679">
        <w:rPr>
          <w:bCs/>
        </w:rPr>
        <w:t xml:space="preserve"> млн. </w:t>
      </w:r>
      <w:proofErr w:type="spellStart"/>
      <w:r w:rsidR="005F394A" w:rsidRPr="00CF3679">
        <w:rPr>
          <w:bCs/>
        </w:rPr>
        <w:t>кв</w:t>
      </w:r>
      <w:proofErr w:type="gramStart"/>
      <w:r w:rsidR="005F394A" w:rsidRPr="00CF3679">
        <w:rPr>
          <w:bCs/>
        </w:rPr>
        <w:t>.м</w:t>
      </w:r>
      <w:proofErr w:type="spellEnd"/>
      <w:proofErr w:type="gramEnd"/>
      <w:r w:rsidR="005F394A" w:rsidRPr="00CF3679">
        <w:rPr>
          <w:bCs/>
        </w:rPr>
        <w:t xml:space="preserve">, что в стоимостном выражении соответствует </w:t>
      </w:r>
      <w:r w:rsidR="000B09BE">
        <w:rPr>
          <w:bCs/>
        </w:rPr>
        <w:t>…</w:t>
      </w:r>
      <w:r w:rsidR="005F394A" w:rsidRPr="00CF3679">
        <w:rPr>
          <w:bCs/>
        </w:rPr>
        <w:t xml:space="preserve"> млрд. рублей, а если рассматривать рынок окон «под ключ», то его объем составил </w:t>
      </w:r>
      <w:r w:rsidR="000B09BE">
        <w:rPr>
          <w:bCs/>
        </w:rPr>
        <w:t>…</w:t>
      </w:r>
      <w:r w:rsidR="005F394A" w:rsidRPr="00CF3679">
        <w:rPr>
          <w:bCs/>
        </w:rPr>
        <w:t xml:space="preserve"> млрд. рублей.</w:t>
      </w:r>
    </w:p>
    <w:p w:rsidR="00681089" w:rsidRDefault="00681089" w:rsidP="00E764F4">
      <w:pPr>
        <w:ind w:firstLine="284"/>
      </w:pPr>
      <w:r>
        <w:t>Компании, занимающиеся продажей и установкой пластиковых окон</w:t>
      </w:r>
      <w:r w:rsidR="000B0E1B">
        <w:t>,</w:t>
      </w:r>
      <w:r>
        <w:t xml:space="preserve"> как </w:t>
      </w:r>
      <w:r w:rsidR="002362CB">
        <w:t>правило,</w:t>
      </w:r>
      <w:r>
        <w:t xml:space="preserve"> предлагают и установку деревянных окон, окон из алюминия и другие виды оконных конструкций. Однако</w:t>
      </w:r>
      <w:proofErr w:type="gramStart"/>
      <w:r>
        <w:t>,</w:t>
      </w:r>
      <w:proofErr w:type="gramEnd"/>
      <w:r>
        <w:t xml:space="preserve"> все большую долю рынка отвоевывают окна ПВХ. </w:t>
      </w:r>
      <w:r w:rsidR="000B0E1B">
        <w:t>В 2007 году пласти</w:t>
      </w:r>
      <w:r w:rsidR="000B09BE">
        <w:t>ковые окна занимали …</w:t>
      </w:r>
      <w:r w:rsidR="000B0E1B">
        <w:t xml:space="preserve">% рынка, сейчас такие </w:t>
      </w:r>
      <w:r>
        <w:t>окна занима</w:t>
      </w:r>
      <w:r w:rsidR="000B0E1B">
        <w:t>ют</w:t>
      </w:r>
      <w:r>
        <w:t xml:space="preserve"> </w:t>
      </w:r>
      <w:r w:rsidR="000B09BE">
        <w:t>…</w:t>
      </w:r>
      <w:r>
        <w:t>% рынка</w:t>
      </w:r>
      <w:r w:rsidR="000B0E1B">
        <w:t xml:space="preserve"> в натуральном выражении </w:t>
      </w:r>
      <w:r w:rsidR="000B09BE">
        <w:t>и …</w:t>
      </w:r>
      <w:r w:rsidR="000B0E1B">
        <w:t>% в стоимостном выражении.</w:t>
      </w:r>
    </w:p>
    <w:p w:rsidR="00FA19B0" w:rsidRDefault="00B20370" w:rsidP="000B0E1B">
      <w:pPr>
        <w:pStyle w:val="a9"/>
        <w:keepNext/>
      </w:pPr>
      <w:bookmarkStart w:id="65" w:name="_Toc323139826"/>
      <w:r>
        <w:t xml:space="preserve">Диаграмма </w:t>
      </w:r>
      <w:r w:rsidR="00181A34">
        <w:fldChar w:fldCharType="begin"/>
      </w:r>
      <w:r w:rsidR="00780277">
        <w:instrText xml:space="preserve"> SEQ Диаграмма \* ARABIC </w:instrText>
      </w:r>
      <w:r w:rsidR="00181A34">
        <w:fldChar w:fldCharType="separate"/>
      </w:r>
      <w:r w:rsidR="00AD6B5B">
        <w:rPr>
          <w:noProof/>
        </w:rPr>
        <w:t>4</w:t>
      </w:r>
      <w:r w:rsidR="00181A34">
        <w:rPr>
          <w:noProof/>
        </w:rPr>
        <w:fldChar w:fldCharType="end"/>
      </w:r>
      <w:r>
        <w:t>. Структура рынка окон по типу конструкции в 20</w:t>
      </w:r>
      <w:r w:rsidR="008D578C">
        <w:t>11</w:t>
      </w:r>
      <w:r>
        <w:t>году</w:t>
      </w:r>
      <w:r w:rsidR="008D578C">
        <w:t xml:space="preserve"> в натуральном выражении</w:t>
      </w:r>
      <w:r>
        <w:t xml:space="preserve">, </w:t>
      </w:r>
      <w:r w:rsidR="008D578C">
        <w:t xml:space="preserve">млн. </w:t>
      </w:r>
      <w:proofErr w:type="spellStart"/>
      <w:r w:rsidR="008D578C">
        <w:t>кв</w:t>
      </w:r>
      <w:proofErr w:type="gramStart"/>
      <w:r w:rsidR="008D578C">
        <w:t>.м</w:t>
      </w:r>
      <w:proofErr w:type="spellEnd"/>
      <w:proofErr w:type="gramEnd"/>
      <w:r w:rsidR="008D578C">
        <w:t xml:space="preserve">, </w:t>
      </w:r>
      <w:r>
        <w:t>%</w:t>
      </w:r>
      <w:bookmarkEnd w:id="65"/>
    </w:p>
    <w:p w:rsidR="00FA19B0" w:rsidRDefault="00FA19B0" w:rsidP="00FA19B0">
      <w:pPr>
        <w:rPr>
          <w:noProof/>
          <w:lang w:eastAsia="ru-RU"/>
        </w:rPr>
      </w:pPr>
    </w:p>
    <w:p w:rsidR="000B09BE" w:rsidRDefault="000B09BE" w:rsidP="00FA19B0">
      <w:pPr>
        <w:rPr>
          <w:noProof/>
          <w:lang w:eastAsia="ru-RU"/>
        </w:rPr>
      </w:pPr>
    </w:p>
    <w:p w:rsidR="000B09BE" w:rsidRDefault="000B09BE" w:rsidP="00FA19B0">
      <w:pPr>
        <w:rPr>
          <w:noProof/>
          <w:lang w:eastAsia="ru-RU"/>
        </w:rPr>
      </w:pPr>
    </w:p>
    <w:p w:rsidR="000B09BE" w:rsidRDefault="000B09BE" w:rsidP="00FA19B0">
      <w:pPr>
        <w:rPr>
          <w:noProof/>
          <w:lang w:eastAsia="ru-RU"/>
        </w:rPr>
      </w:pPr>
    </w:p>
    <w:p w:rsidR="000B09BE" w:rsidRDefault="000B09BE" w:rsidP="00FA19B0"/>
    <w:p w:rsidR="00B55024" w:rsidRDefault="00B20370" w:rsidP="00B20370">
      <w:pPr>
        <w:pStyle w:val="a9"/>
      </w:pPr>
      <w:bookmarkStart w:id="66" w:name="_Toc323139827"/>
      <w:r>
        <w:t xml:space="preserve">Диаграмма </w:t>
      </w:r>
      <w:r w:rsidR="00181A34">
        <w:fldChar w:fldCharType="begin"/>
      </w:r>
      <w:r w:rsidR="00780277">
        <w:instrText xml:space="preserve"> SEQ Диаграмма \* ARABIC </w:instrText>
      </w:r>
      <w:r w:rsidR="00181A34">
        <w:fldChar w:fldCharType="separate"/>
      </w:r>
      <w:r w:rsidR="00AD6B5B">
        <w:rPr>
          <w:noProof/>
        </w:rPr>
        <w:t>5</w:t>
      </w:r>
      <w:r w:rsidR="00181A34">
        <w:rPr>
          <w:noProof/>
        </w:rPr>
        <w:fldChar w:fldCharType="end"/>
      </w:r>
      <w:r>
        <w:t>. Структура рынка окон по типу конструкции в 2011 году</w:t>
      </w:r>
      <w:r w:rsidR="008D578C">
        <w:t xml:space="preserve"> в стоимостном выражении</w:t>
      </w:r>
      <w:r>
        <w:t xml:space="preserve">, </w:t>
      </w:r>
      <w:r w:rsidR="000B0E1B">
        <w:t>млрд. руб.,</w:t>
      </w:r>
      <w:r>
        <w:t>%</w:t>
      </w:r>
      <w:bookmarkEnd w:id="66"/>
    </w:p>
    <w:p w:rsidR="008D578C" w:rsidRDefault="008D578C" w:rsidP="008D578C">
      <w:pPr>
        <w:rPr>
          <w:noProof/>
          <w:lang w:eastAsia="ru-RU"/>
        </w:rPr>
      </w:pPr>
    </w:p>
    <w:p w:rsidR="000B09BE" w:rsidRDefault="000B09BE" w:rsidP="008D578C">
      <w:pPr>
        <w:rPr>
          <w:noProof/>
          <w:lang w:eastAsia="ru-RU"/>
        </w:rPr>
      </w:pPr>
    </w:p>
    <w:p w:rsidR="000B09BE" w:rsidRDefault="000B09BE" w:rsidP="008D578C">
      <w:pPr>
        <w:rPr>
          <w:noProof/>
          <w:lang w:eastAsia="ru-RU"/>
        </w:rPr>
      </w:pPr>
    </w:p>
    <w:p w:rsidR="000B09BE" w:rsidRDefault="000B09BE" w:rsidP="008D578C">
      <w:pPr>
        <w:rPr>
          <w:noProof/>
          <w:lang w:eastAsia="ru-RU"/>
        </w:rPr>
      </w:pPr>
    </w:p>
    <w:p w:rsidR="000B09BE" w:rsidRDefault="000B09BE" w:rsidP="008D578C">
      <w:pPr>
        <w:rPr>
          <w:noProof/>
          <w:lang w:eastAsia="ru-RU"/>
        </w:rPr>
      </w:pPr>
    </w:p>
    <w:p w:rsidR="000B09BE" w:rsidRPr="008D578C" w:rsidRDefault="000B09BE" w:rsidP="008D578C"/>
    <w:p w:rsidR="008F7048" w:rsidRPr="008F7048" w:rsidRDefault="008F7048" w:rsidP="0020695E">
      <w:pPr>
        <w:ind w:firstLine="284"/>
        <w:rPr>
          <w:lang w:eastAsia="ru-RU"/>
        </w:rPr>
      </w:pPr>
      <w:r w:rsidRPr="00154784">
        <w:rPr>
          <w:color w:val="000000" w:themeColor="text1"/>
          <w:lang w:eastAsia="ru-RU"/>
        </w:rPr>
        <w:lastRenderedPageBreak/>
        <w:t xml:space="preserve">Когда в середине 1990-х г.г. на российском </w:t>
      </w:r>
      <w:r w:rsidRPr="00154784">
        <w:rPr>
          <w:bCs/>
          <w:color w:val="000000" w:themeColor="text1"/>
          <w:lang w:eastAsia="ru-RU"/>
        </w:rPr>
        <w:t>рынке</w:t>
      </w:r>
      <w:r w:rsidRPr="00154784">
        <w:rPr>
          <w:color w:val="000000" w:themeColor="text1"/>
          <w:lang w:eastAsia="ru-RU"/>
        </w:rPr>
        <w:t xml:space="preserve"> появились </w:t>
      </w:r>
      <w:r w:rsidRPr="00154784">
        <w:rPr>
          <w:bCs/>
          <w:color w:val="000000" w:themeColor="text1"/>
          <w:lang w:eastAsia="ru-RU"/>
        </w:rPr>
        <w:t>пластиковые окна</w:t>
      </w:r>
      <w:r w:rsidRPr="00154784">
        <w:rPr>
          <w:color w:val="000000" w:themeColor="text1"/>
          <w:lang w:eastAsia="ru-RU"/>
        </w:rPr>
        <w:t>, их</w:t>
      </w:r>
      <w:r w:rsidR="00154784" w:rsidRPr="00154784">
        <w:rPr>
          <w:color w:val="000000" w:themeColor="text1"/>
          <w:lang w:eastAsia="ru-RU"/>
        </w:rPr>
        <w:t xml:space="preserve"> </w:t>
      </w:r>
      <w:r w:rsidRPr="00154784">
        <w:rPr>
          <w:color w:val="000000" w:themeColor="text1"/>
          <w:lang w:eastAsia="ru-RU"/>
        </w:rPr>
        <w:t>цена зависела от поставок из-за рубежа</w:t>
      </w:r>
      <w:r w:rsidR="000B0E1B">
        <w:rPr>
          <w:color w:val="000000" w:themeColor="text1"/>
          <w:lang w:eastAsia="ru-RU"/>
        </w:rPr>
        <w:t xml:space="preserve"> и</w:t>
      </w:r>
      <w:r w:rsidRPr="00154784">
        <w:rPr>
          <w:color w:val="000000" w:themeColor="text1"/>
          <w:lang w:eastAsia="ru-RU"/>
        </w:rPr>
        <w:t xml:space="preserve"> стоимость </w:t>
      </w:r>
      <w:r w:rsidRPr="00154784">
        <w:rPr>
          <w:bCs/>
          <w:color w:val="000000" w:themeColor="text1"/>
          <w:lang w:eastAsia="ru-RU"/>
        </w:rPr>
        <w:t>окна</w:t>
      </w:r>
      <w:r w:rsidR="00154784" w:rsidRPr="00154784">
        <w:rPr>
          <w:bCs/>
          <w:color w:val="000000" w:themeColor="text1"/>
          <w:lang w:eastAsia="ru-RU"/>
        </w:rPr>
        <w:t xml:space="preserve"> </w:t>
      </w:r>
      <w:r w:rsidRPr="00154784">
        <w:rPr>
          <w:color w:val="000000" w:themeColor="text1"/>
          <w:lang w:eastAsia="ru-RU"/>
        </w:rPr>
        <w:t>была полностью привязана к доллару. Но уже в начале</w:t>
      </w:r>
      <w:r w:rsidRPr="008F7048">
        <w:rPr>
          <w:lang w:eastAsia="ru-RU"/>
        </w:rPr>
        <w:t xml:space="preserve"> 2000-х г.г., когда многие немецкие</w:t>
      </w:r>
      <w:r w:rsidR="00154784">
        <w:rPr>
          <w:lang w:eastAsia="ru-RU"/>
        </w:rPr>
        <w:t xml:space="preserve"> </w:t>
      </w:r>
      <w:r w:rsidRPr="008F7048">
        <w:rPr>
          <w:lang w:eastAsia="ru-RU"/>
        </w:rPr>
        <w:t xml:space="preserve">компании открыли в </w:t>
      </w:r>
      <w:r w:rsidR="007B7D14">
        <w:rPr>
          <w:lang w:eastAsia="ru-RU"/>
        </w:rPr>
        <w:t>России</w:t>
      </w:r>
      <w:r w:rsidRPr="008F7048">
        <w:rPr>
          <w:lang w:eastAsia="ru-RU"/>
        </w:rPr>
        <w:t xml:space="preserve"> собственные производства, ситуация изменилась:</w:t>
      </w:r>
      <w:r w:rsidR="00154784">
        <w:rPr>
          <w:lang w:eastAsia="ru-RU"/>
        </w:rPr>
        <w:t xml:space="preserve"> </w:t>
      </w:r>
      <w:r w:rsidRPr="008F7048">
        <w:rPr>
          <w:lang w:eastAsia="ru-RU"/>
        </w:rPr>
        <w:t>конкуренция на рынке выросла</w:t>
      </w:r>
      <w:r w:rsidR="007B7D14">
        <w:rPr>
          <w:lang w:eastAsia="ru-RU"/>
        </w:rPr>
        <w:t xml:space="preserve">. </w:t>
      </w:r>
      <w:r w:rsidRPr="008F7048">
        <w:rPr>
          <w:lang w:eastAsia="ru-RU"/>
        </w:rPr>
        <w:t xml:space="preserve"> </w:t>
      </w:r>
      <w:r w:rsidR="007B7D14">
        <w:rPr>
          <w:lang w:eastAsia="ru-RU"/>
        </w:rPr>
        <w:t>Э</w:t>
      </w:r>
      <w:r w:rsidRPr="008F7048">
        <w:rPr>
          <w:lang w:eastAsia="ru-RU"/>
        </w:rPr>
        <w:t>то привело к значительному снижению цен</w:t>
      </w:r>
      <w:r w:rsidR="007B7D14">
        <w:rPr>
          <w:lang w:eastAsia="ru-RU"/>
        </w:rPr>
        <w:t>.</w:t>
      </w:r>
    </w:p>
    <w:p w:rsidR="004F31A5" w:rsidRDefault="007B7D14" w:rsidP="004F31A5">
      <w:pPr>
        <w:ind w:firstLine="284"/>
      </w:pPr>
      <w:proofErr w:type="gramStart"/>
      <w:r>
        <w:rPr>
          <w:color w:val="000000" w:themeColor="text1"/>
          <w:lang w:eastAsia="ru-RU"/>
        </w:rPr>
        <w:t>Д</w:t>
      </w:r>
      <w:r w:rsidR="008F7048" w:rsidRPr="00154784">
        <w:rPr>
          <w:color w:val="000000" w:themeColor="text1"/>
          <w:lang w:eastAsia="ru-RU"/>
        </w:rPr>
        <w:t>о кризисного 2008 г., игроки оконного рынка имели</w:t>
      </w:r>
      <w:r w:rsidR="00154784" w:rsidRPr="00154784">
        <w:rPr>
          <w:color w:val="000000" w:themeColor="text1"/>
          <w:lang w:eastAsia="ru-RU"/>
        </w:rPr>
        <w:t xml:space="preserve"> </w:t>
      </w:r>
      <w:r w:rsidR="008F7048" w:rsidRPr="00154784">
        <w:rPr>
          <w:color w:val="000000" w:themeColor="text1"/>
          <w:lang w:eastAsia="ru-RU"/>
        </w:rPr>
        <w:t xml:space="preserve">достаточно большую рентабельность в </w:t>
      </w:r>
      <w:r w:rsidR="000B09BE">
        <w:rPr>
          <w:color w:val="000000" w:themeColor="text1"/>
          <w:lang w:eastAsia="ru-RU"/>
        </w:rPr>
        <w:t>…</w:t>
      </w:r>
      <w:r w:rsidR="008F7048" w:rsidRPr="00154784">
        <w:rPr>
          <w:color w:val="000000" w:themeColor="text1"/>
          <w:lang w:eastAsia="ru-RU"/>
        </w:rPr>
        <w:t>%. Но 2008 год изменил ситуацию:</w:t>
      </w:r>
      <w:r w:rsidR="00154784" w:rsidRPr="00154784">
        <w:rPr>
          <w:color w:val="000000" w:themeColor="text1"/>
          <w:lang w:eastAsia="ru-RU"/>
        </w:rPr>
        <w:t xml:space="preserve"> </w:t>
      </w:r>
      <w:r w:rsidR="008F7048" w:rsidRPr="00154784">
        <w:rPr>
          <w:color w:val="000000" w:themeColor="text1"/>
          <w:lang w:eastAsia="ru-RU"/>
        </w:rPr>
        <w:t xml:space="preserve">буквально за несколько месяцев цены на </w:t>
      </w:r>
      <w:r w:rsidR="008F7048" w:rsidRPr="00154784">
        <w:rPr>
          <w:bCs/>
          <w:color w:val="000000" w:themeColor="text1"/>
          <w:lang w:eastAsia="ru-RU"/>
        </w:rPr>
        <w:t>окна</w:t>
      </w:r>
      <w:r w:rsidR="008F7048" w:rsidRPr="00154784">
        <w:rPr>
          <w:color w:val="000000" w:themeColor="text1"/>
          <w:lang w:eastAsia="ru-RU"/>
        </w:rPr>
        <w:t xml:space="preserve"> упали на </w:t>
      </w:r>
      <w:r w:rsidR="000B09BE">
        <w:rPr>
          <w:color w:val="000000" w:themeColor="text1"/>
          <w:lang w:eastAsia="ru-RU"/>
        </w:rPr>
        <w:t>…</w:t>
      </w:r>
      <w:r w:rsidR="008F7048" w:rsidRPr="00154784">
        <w:rPr>
          <w:color w:val="000000" w:themeColor="text1"/>
          <w:lang w:eastAsia="ru-RU"/>
        </w:rPr>
        <w:t xml:space="preserve">%. </w:t>
      </w:r>
      <w:r w:rsidR="004F31A5">
        <w:t xml:space="preserve">После сокращения рынка в результате финансового кризиса в 2009 году на </w:t>
      </w:r>
      <w:r w:rsidR="000B09BE">
        <w:t>…</w:t>
      </w:r>
      <w:r w:rsidR="004F31A5">
        <w:t xml:space="preserve">%, наблюдалась  коррекция объема в виде резкого отката на </w:t>
      </w:r>
      <w:r w:rsidR="000B09BE">
        <w:t>…</w:t>
      </w:r>
      <w:r w:rsidR="004F31A5">
        <w:t xml:space="preserve">% в 2010 году. </w:t>
      </w:r>
      <w:proofErr w:type="gramEnd"/>
    </w:p>
    <w:p w:rsidR="0035743B" w:rsidRDefault="0020695E" w:rsidP="007430C6">
      <w:pPr>
        <w:ind w:firstLine="284"/>
      </w:pPr>
      <w:r>
        <w:t xml:space="preserve">В </w:t>
      </w:r>
      <w:r w:rsidR="0035743B">
        <w:t>2011 год</w:t>
      </w:r>
      <w:r>
        <w:t xml:space="preserve">у </w:t>
      </w:r>
      <w:r w:rsidR="0035743B">
        <w:t xml:space="preserve">игроки рынка ощутили на себе значительное усиление конкуренции в результате превышения предложения над спросом. Рост рынка пластиковых окон составил </w:t>
      </w:r>
      <w:r w:rsidR="000B09BE">
        <w:t>…</w:t>
      </w:r>
      <w:r w:rsidR="0035743B">
        <w:t xml:space="preserve">%. </w:t>
      </w:r>
      <w:r w:rsidR="007430C6">
        <w:t xml:space="preserve">Для европейских стран это хороший показатель роста, однако в России такие показатели считаются низкими. Участники оконного рынка привыкли находиться в стадии роста, где среднерыночные показатели соответствуют </w:t>
      </w:r>
      <w:r w:rsidR="000B09BE">
        <w:t>…</w:t>
      </w:r>
      <w:r w:rsidR="007430C6">
        <w:t xml:space="preserve">% ежегодному росту. </w:t>
      </w:r>
    </w:p>
    <w:p w:rsidR="007430C6" w:rsidRDefault="007430C6" w:rsidP="007430C6">
      <w:pPr>
        <w:ind w:firstLine="284"/>
      </w:pPr>
      <w:r>
        <w:t xml:space="preserve">После высоких показателей роста в 2010 году, первый квартал 2011 года показал рост примерно на </w:t>
      </w:r>
      <w:r w:rsidR="000B09BE">
        <w:t>…</w:t>
      </w:r>
      <w:r>
        <w:t xml:space="preserve">%. Производители окон и комплектующих продолжали делать складские запасы, ожидая сезонного увеличения спроса в 2011 года. Ситуация в российской экономике позволяла участникам рынка надеется на среднестатистический год на оконном рынке. Но уже середина второго квартала 2011 года характеризовалась отсутствием обычного апрельско-майского роста. Вместо обычного прироста потребительского спроса, рынок «просел». По итогам 1 полугодия 2011 года, оконный рынок вырос только </w:t>
      </w:r>
      <w:proofErr w:type="gramStart"/>
      <w:r>
        <w:t>на</w:t>
      </w:r>
      <w:proofErr w:type="gramEnd"/>
      <w:r>
        <w:t xml:space="preserve"> </w:t>
      </w:r>
      <w:r w:rsidR="000B09BE">
        <w:t>…</w:t>
      </w:r>
      <w:r>
        <w:t xml:space="preserve">% по сравнению с аналогичным периодом прошлого года. Спрос на окна вернулся  в конце августа с отступлением жары и сохранился до октября включительно. В результате по итогам 2011 года рынок окон вырос всего </w:t>
      </w:r>
      <w:proofErr w:type="gramStart"/>
      <w:r>
        <w:t>на</w:t>
      </w:r>
      <w:proofErr w:type="gramEnd"/>
      <w:r>
        <w:t xml:space="preserve"> </w:t>
      </w:r>
      <w:r w:rsidR="000B09BE">
        <w:t>…</w:t>
      </w:r>
      <w:r>
        <w:t>%.</w:t>
      </w:r>
    </w:p>
    <w:p w:rsidR="007430C6" w:rsidRDefault="007430C6" w:rsidP="007430C6">
      <w:pPr>
        <w:ind w:firstLine="284"/>
      </w:pPr>
      <w:r>
        <w:t xml:space="preserve">Одной из причин низкого роста рынка в России участники считают насыщение рынка. </w:t>
      </w:r>
    </w:p>
    <w:p w:rsidR="007430C6" w:rsidRDefault="007430C6" w:rsidP="007430C6">
      <w:pPr>
        <w:ind w:firstLine="284"/>
      </w:pPr>
      <w:r>
        <w:t xml:space="preserve">Так же  причиной таких низких темпов роста рынка в 2011 году стала переориентация спроса на более востребованный в этом году продукт – покупку кондиционеров (сплит систем). Это подтверждают данные осеннего исследования мнений конечных покупателей окон по Москве, где впервые за последние 4 года причиной покупки окон стал шум, а не холод. В памяти потребителей осталось аномальное жаркое лето 2010 года и смог, а также жаркое лето 2011 года. Запросы поисковой системы Яндекс также подтверждают повышенные показатели спроса по запросу кондиционеры. </w:t>
      </w:r>
    </w:p>
    <w:p w:rsidR="007430C6" w:rsidRDefault="007430C6" w:rsidP="007430C6">
      <w:pPr>
        <w:pStyle w:val="a9"/>
        <w:keepNext/>
      </w:pPr>
      <w:bookmarkStart w:id="67" w:name="_Toc323139828"/>
      <w:r>
        <w:lastRenderedPageBreak/>
        <w:t xml:space="preserve">Диаграмма </w:t>
      </w:r>
      <w:r w:rsidR="00AC6908">
        <w:fldChar w:fldCharType="begin"/>
      </w:r>
      <w:r w:rsidR="00AC6908">
        <w:instrText xml:space="preserve"> SEQ Диаграмма \* ARABIC </w:instrText>
      </w:r>
      <w:r w:rsidR="00AC6908">
        <w:fldChar w:fldCharType="separate"/>
      </w:r>
      <w:r>
        <w:rPr>
          <w:noProof/>
        </w:rPr>
        <w:t>6</w:t>
      </w:r>
      <w:r w:rsidR="00AC6908">
        <w:rPr>
          <w:noProof/>
        </w:rPr>
        <w:fldChar w:fldCharType="end"/>
      </w:r>
      <w:r>
        <w:t xml:space="preserve">. Количество </w:t>
      </w:r>
      <w:proofErr w:type="gramStart"/>
      <w:r>
        <w:t>запросов</w:t>
      </w:r>
      <w:proofErr w:type="gramEnd"/>
      <w:r>
        <w:t xml:space="preserve"> по словам «пластиковые окна» и «кондиционеры» в Яндексе в 2010 году, млн. шт.</w:t>
      </w:r>
      <w:bookmarkEnd w:id="67"/>
    </w:p>
    <w:p w:rsidR="007430C6" w:rsidRDefault="007430C6" w:rsidP="007430C6">
      <w:pPr>
        <w:ind w:firstLine="284"/>
      </w:pPr>
      <w:r>
        <w:rPr>
          <w:noProof/>
          <w:lang w:eastAsia="ru-RU"/>
        </w:rPr>
        <w:drawing>
          <wp:inline distT="0" distB="0" distL="0" distR="0" wp14:anchorId="70F3D3C7" wp14:editId="55106A6F">
            <wp:extent cx="5534025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6" w:rsidRDefault="007430C6" w:rsidP="007430C6">
      <w:pPr>
        <w:ind w:firstLine="284"/>
      </w:pPr>
      <w:r>
        <w:t xml:space="preserve">Если говорить о покупательской способности, то она в 2011 году была выше предыдущего года. Оборот розничной торговли в 2011 году вырос на </w:t>
      </w:r>
      <w:r w:rsidR="000B09BE">
        <w:t>…</w:t>
      </w:r>
      <w:r>
        <w:t xml:space="preserve">%, а в 2010 году только </w:t>
      </w:r>
      <w:proofErr w:type="gramStart"/>
      <w:r>
        <w:t>на</w:t>
      </w:r>
      <w:proofErr w:type="gramEnd"/>
      <w:r>
        <w:t xml:space="preserve"> </w:t>
      </w:r>
      <w:r w:rsidR="000B09BE">
        <w:t>…</w:t>
      </w:r>
      <w:r>
        <w:t xml:space="preserve">%. </w:t>
      </w:r>
      <w:proofErr w:type="gramStart"/>
      <w:r>
        <w:t>На</w:t>
      </w:r>
      <w:proofErr w:type="gramEnd"/>
      <w:r>
        <w:t xml:space="preserve"> фоне того, что покупательная способность населения в России теперь не столь высокая, как, например, в 2006 году, это стало причиной таких низких темпов роста пластиковых окон в 2011 году. </w:t>
      </w:r>
    </w:p>
    <w:p w:rsidR="00FA19B0" w:rsidRDefault="00665986" w:rsidP="00665986">
      <w:pPr>
        <w:pStyle w:val="1"/>
        <w:pageBreakBefore/>
      </w:pPr>
      <w:bookmarkStart w:id="68" w:name="_Toc323139805"/>
      <w:r>
        <w:lastRenderedPageBreak/>
        <w:t xml:space="preserve">ГЛАВА </w:t>
      </w:r>
      <w:r w:rsidR="005450A3">
        <w:t>3</w:t>
      </w:r>
      <w:r>
        <w:t>.</w:t>
      </w:r>
      <w:r w:rsidR="005450A3">
        <w:t xml:space="preserve"> </w:t>
      </w:r>
      <w:r>
        <w:t>КЛЮЧЕВЫЕ ТРЕНДЫ И СОБЫТИЯ НА РЫНКЕ.</w:t>
      </w:r>
      <w:bookmarkEnd w:id="68"/>
    </w:p>
    <w:p w:rsidR="007430C6" w:rsidRDefault="007430C6" w:rsidP="007430C6">
      <w:pPr>
        <w:ind w:firstLine="284"/>
        <w:contextualSpacing/>
      </w:pPr>
      <w:r>
        <w:t xml:space="preserve">. </w:t>
      </w:r>
    </w:p>
    <w:p w:rsidR="007430C6" w:rsidRPr="007430C6" w:rsidRDefault="007430C6" w:rsidP="007430C6">
      <w:pPr>
        <w:rPr>
          <w:lang w:eastAsia="ru-RU"/>
        </w:rPr>
      </w:pPr>
    </w:p>
    <w:p w:rsidR="00FA19B0" w:rsidRDefault="00665986" w:rsidP="00665986">
      <w:pPr>
        <w:pStyle w:val="1"/>
        <w:pageBreakBefore/>
      </w:pPr>
      <w:bookmarkStart w:id="69" w:name="_Toc323139811"/>
      <w:r>
        <w:lastRenderedPageBreak/>
        <w:t xml:space="preserve">ГЛАВА </w:t>
      </w:r>
      <w:r w:rsidR="005450A3">
        <w:t>4</w:t>
      </w:r>
      <w:r>
        <w:t>.</w:t>
      </w:r>
      <w:r w:rsidR="005450A3">
        <w:t xml:space="preserve"> </w:t>
      </w:r>
      <w:r>
        <w:t>КЛЮЧЕВЫЕ ИГРОКИ НА РЫНКЕ</w:t>
      </w:r>
      <w:bookmarkEnd w:id="69"/>
    </w:p>
    <w:p w:rsidR="000F3E8F" w:rsidRDefault="000F3E8F" w:rsidP="005257B2">
      <w:pPr>
        <w:pStyle w:val="a9"/>
      </w:pPr>
    </w:p>
    <w:p w:rsidR="0092601C" w:rsidRDefault="0092601C" w:rsidP="004F5A3F"/>
    <w:p w:rsidR="00181F55" w:rsidRPr="00235FC8" w:rsidRDefault="00665986" w:rsidP="00665986">
      <w:pPr>
        <w:pStyle w:val="1"/>
        <w:pageBreakBefore/>
      </w:pPr>
      <w:bookmarkStart w:id="70" w:name="_Toc323139812"/>
      <w:r>
        <w:lastRenderedPageBreak/>
        <w:t xml:space="preserve">ГЛАВА </w:t>
      </w:r>
      <w:r w:rsidR="005450A3">
        <w:t>5</w:t>
      </w:r>
      <w:r>
        <w:t>.</w:t>
      </w:r>
      <w:r w:rsidR="005450A3">
        <w:t xml:space="preserve"> </w:t>
      </w:r>
      <w:r>
        <w:t>РЕГИОНАЛЬНЫЕ ОСОБЕННОСТИ РАЗВИТИЯ РЫНКА.</w:t>
      </w:r>
      <w:bookmarkEnd w:id="70"/>
    </w:p>
    <w:p w:rsidR="006B48C9" w:rsidRDefault="00665986" w:rsidP="00665986">
      <w:pPr>
        <w:pStyle w:val="1"/>
        <w:pageBreakBefore/>
      </w:pPr>
      <w:bookmarkStart w:id="71" w:name="_Toc323139813"/>
      <w:r>
        <w:lastRenderedPageBreak/>
        <w:t xml:space="preserve">ГЛАВА </w:t>
      </w:r>
      <w:r w:rsidR="005450A3">
        <w:t>6</w:t>
      </w:r>
      <w:r>
        <w:t>.</w:t>
      </w:r>
      <w:r w:rsidR="005450A3">
        <w:t xml:space="preserve"> </w:t>
      </w:r>
      <w:r>
        <w:t>ПРОГНОЗ РАЗВИТИЯ РЫНКА НА 2012 ГОД.</w:t>
      </w:r>
      <w:bookmarkEnd w:id="71"/>
    </w:p>
    <w:p w:rsidR="00B76EFD" w:rsidRDefault="00B76EFD" w:rsidP="00B76EFD">
      <w:pPr>
        <w:ind w:firstLine="284"/>
      </w:pPr>
      <w:r>
        <w:t xml:space="preserve">В случае, если спрос на окна после </w:t>
      </w:r>
      <w:r w:rsidR="0043333F">
        <w:t>снижения</w:t>
      </w:r>
      <w:r>
        <w:t xml:space="preserve"> в 2011 году, вернется вследствие холодной погоды, которая стояла во многих регионах зимой 2012 года и ситуация на строительном рынке оживится, стоит ожидать роста </w:t>
      </w:r>
      <w:r w:rsidRPr="00E02742">
        <w:t>р</w:t>
      </w:r>
      <w:r w:rsidR="000B09BE">
        <w:t xml:space="preserve">ынка окон ПВХ </w:t>
      </w:r>
      <w:proofErr w:type="gramStart"/>
      <w:r w:rsidR="000B09BE">
        <w:t>на</w:t>
      </w:r>
      <w:proofErr w:type="gramEnd"/>
      <w:r w:rsidR="000B09BE">
        <w:t xml:space="preserve"> …</w:t>
      </w:r>
      <w:r>
        <w:t xml:space="preserve">% до </w:t>
      </w:r>
      <w:r w:rsidR="000B09BE">
        <w:t>…</w:t>
      </w:r>
      <w:r>
        <w:t xml:space="preserve"> млн. кв. м.</w:t>
      </w:r>
    </w:p>
    <w:p w:rsidR="00B76EFD" w:rsidRDefault="00B76EFD" w:rsidP="00B76EFD">
      <w:pPr>
        <w:ind w:firstLine="284"/>
      </w:pPr>
      <w:r>
        <w:t>Но, по мнению аналитиков, с большей вероятностью роста рынка не произойдет и его объем останется на прежнем уровне. Такой сценарий связывают с  нестаби</w:t>
      </w:r>
      <w:r w:rsidR="0043333F">
        <w:t>льностью экономической ситуации и стагнацией доходов населения</w:t>
      </w:r>
      <w:r>
        <w:t>.</w:t>
      </w:r>
    </w:p>
    <w:p w:rsidR="00B76EFD" w:rsidRDefault="00B76EFD" w:rsidP="00B76EFD">
      <w:pPr>
        <w:ind w:firstLine="284"/>
      </w:pPr>
      <w:r>
        <w:t>Д</w:t>
      </w:r>
      <w:r w:rsidRPr="00AE0CB7">
        <w:t xml:space="preserve">аже если прогнозы о новой волне кризиса не сбудутся, бурные докризисные показатели роста рынка </w:t>
      </w:r>
      <w:r w:rsidRPr="00B76EFD">
        <w:rPr>
          <w:bCs/>
        </w:rPr>
        <w:t>ПВХ-окон</w:t>
      </w:r>
      <w:r w:rsidRPr="00B76EFD">
        <w:t xml:space="preserve">, </w:t>
      </w:r>
      <w:r w:rsidR="000B09BE">
        <w:t>………………………………………………………………………………………………………………………………………………………</w:t>
      </w:r>
      <w:r w:rsidRPr="00B76EFD">
        <w:t xml:space="preserve">. Стагнацию рынка на ближайшие несколько лет обеспечит </w:t>
      </w:r>
      <w:r w:rsidR="000B09BE">
        <w:t>………………………………………………………………………………………………………………………………………………………</w:t>
      </w:r>
      <w:bookmarkStart w:id="72" w:name="_GoBack"/>
      <w:bookmarkEnd w:id="72"/>
      <w:r w:rsidRPr="00B76EFD">
        <w:t>.</w:t>
      </w:r>
      <w:r w:rsidRPr="00AE0CB7">
        <w:t xml:space="preserve"> </w:t>
      </w:r>
    </w:p>
    <w:p w:rsidR="00E30A8E" w:rsidRDefault="00B76EFD" w:rsidP="00E30A8E">
      <w:pPr>
        <w:ind w:firstLine="284"/>
      </w:pPr>
      <w:r w:rsidRPr="00181F55">
        <w:t>В 2012 году эксперты прогнозируют увеличение дол</w:t>
      </w:r>
      <w:r w:rsidR="000B09BE">
        <w:t xml:space="preserve">и сегмента частных заказов </w:t>
      </w:r>
      <w:proofErr w:type="gramStart"/>
      <w:r w:rsidR="000B09BE">
        <w:t>до</w:t>
      </w:r>
      <w:proofErr w:type="gramEnd"/>
      <w:r w:rsidR="000B09BE">
        <w:t xml:space="preserve"> …</w:t>
      </w:r>
      <w:r w:rsidRPr="00181F55">
        <w:t xml:space="preserve">% </w:t>
      </w:r>
      <w:proofErr w:type="gramStart"/>
      <w:r w:rsidRPr="00181F55">
        <w:t>от</w:t>
      </w:r>
      <w:proofErr w:type="gramEnd"/>
      <w:r w:rsidRPr="00181F55">
        <w:t xml:space="preserve"> всего объема рынк</w:t>
      </w:r>
      <w:r>
        <w:t>а.</w:t>
      </w:r>
      <w:r w:rsidR="00E30A8E">
        <w:t xml:space="preserve"> В</w:t>
      </w:r>
      <w:r w:rsidR="00E30A8E" w:rsidRPr="00181F55">
        <w:t xml:space="preserve"> дальнейшем </w:t>
      </w:r>
      <w:r w:rsidR="00E30A8E">
        <w:t xml:space="preserve">ожидается </w:t>
      </w:r>
      <w:r w:rsidR="00E30A8E" w:rsidRPr="00181F55">
        <w:t xml:space="preserve">увеличение объемов </w:t>
      </w:r>
      <w:r w:rsidR="000B09BE">
        <w:t>………………………………………………………………………………………………………………………………………………………</w:t>
      </w:r>
      <w:r w:rsidR="00E30A8E" w:rsidRPr="00181F55">
        <w:t xml:space="preserve">, связанных </w:t>
      </w:r>
      <w:proofErr w:type="gramStart"/>
      <w:r w:rsidR="00E30A8E" w:rsidRPr="00181F55">
        <w:t>с</w:t>
      </w:r>
      <w:proofErr w:type="gramEnd"/>
      <w:r w:rsidR="00E30A8E" w:rsidRPr="00181F55">
        <w:t xml:space="preserve"> </w:t>
      </w:r>
      <w:r w:rsidR="000B09BE">
        <w:t>………………………………………………………………………………………………………………………………………………………</w:t>
      </w:r>
      <w:r w:rsidR="00E30A8E" w:rsidRPr="00564CD6">
        <w:t>.</w:t>
      </w:r>
    </w:p>
    <w:p w:rsidR="00B76EFD" w:rsidRDefault="00B76EFD" w:rsidP="00B76EFD">
      <w:pPr>
        <w:ind w:firstLine="284"/>
        <w:rPr>
          <w:lang w:eastAsia="ru-RU"/>
        </w:rPr>
      </w:pPr>
      <w:r>
        <w:rPr>
          <w:lang w:eastAsia="ru-RU"/>
        </w:rPr>
        <w:t>М</w:t>
      </w:r>
      <w:r w:rsidRPr="008F7048">
        <w:rPr>
          <w:lang w:eastAsia="ru-RU"/>
        </w:rPr>
        <w:t>ногие эксперты прогнозируют в 2012 г. еще большее падение цен и даже</w:t>
      </w:r>
      <w:r>
        <w:rPr>
          <w:lang w:eastAsia="ru-RU"/>
        </w:rPr>
        <w:t xml:space="preserve"> </w:t>
      </w:r>
      <w:r w:rsidRPr="008F7048">
        <w:rPr>
          <w:lang w:eastAsia="ru-RU"/>
        </w:rPr>
        <w:t>демпинг. Многие производители будут несмотря ни на что снижать цены, лишь бы не</w:t>
      </w:r>
      <w:r>
        <w:rPr>
          <w:lang w:eastAsia="ru-RU"/>
        </w:rPr>
        <w:t xml:space="preserve"> </w:t>
      </w:r>
      <w:r w:rsidRPr="008F7048">
        <w:rPr>
          <w:lang w:eastAsia="ru-RU"/>
        </w:rPr>
        <w:t>сокращать или не сворачивать производство. Все надежды игроков будут</w:t>
      </w:r>
      <w:r>
        <w:rPr>
          <w:lang w:eastAsia="ru-RU"/>
        </w:rPr>
        <w:t xml:space="preserve"> </w:t>
      </w:r>
      <w:r w:rsidRPr="008F7048">
        <w:rPr>
          <w:lang w:eastAsia="ru-RU"/>
        </w:rPr>
        <w:t>сконцентрированы на весне 2012 г., когда вновь начнется сезон, и рынок проснется</w:t>
      </w:r>
      <w:r>
        <w:rPr>
          <w:lang w:eastAsia="ru-RU"/>
        </w:rPr>
        <w:t xml:space="preserve"> после зимы</w:t>
      </w:r>
      <w:r w:rsidRPr="008F7048">
        <w:rPr>
          <w:lang w:eastAsia="ru-RU"/>
        </w:rPr>
        <w:t>.</w:t>
      </w:r>
    </w:p>
    <w:p w:rsidR="00B76EFD" w:rsidRDefault="00B76EFD" w:rsidP="00B76EFD">
      <w:pPr>
        <w:ind w:firstLine="284"/>
      </w:pPr>
      <w:r>
        <w:t xml:space="preserve">Спрос на пластиковые окна в </w:t>
      </w:r>
      <w:proofErr w:type="spellStart"/>
      <w:r>
        <w:t>гионах</w:t>
      </w:r>
      <w:proofErr w:type="spellEnd"/>
      <w:r>
        <w:t xml:space="preserve"> страны </w:t>
      </w:r>
      <w:proofErr w:type="gramStart"/>
      <w:r>
        <w:t>о</w:t>
      </w:r>
      <w:proofErr w:type="gramEnd"/>
      <w:r w:rsidR="000B09BE">
        <w:t>………………………………………………………………………………………………………………………………………………………</w:t>
      </w:r>
      <w:r>
        <w:t>.</w:t>
      </w:r>
    </w:p>
    <w:p w:rsidR="00B76EFD" w:rsidRDefault="00B76EFD" w:rsidP="00B76EFD">
      <w:pPr>
        <w:ind w:firstLine="284"/>
      </w:pPr>
      <w:r>
        <w:t>В</w:t>
      </w:r>
      <w:r w:rsidRPr="00AE0CB7">
        <w:t xml:space="preserve"> некоторых городах Сибири в ближайшие годы </w:t>
      </w:r>
      <w:r w:rsidR="0043333F">
        <w:t>ожидается</w:t>
      </w:r>
      <w:r w:rsidRPr="00AE0CB7">
        <w:t xml:space="preserve"> сокращение продаж. </w:t>
      </w:r>
      <w:r w:rsidRPr="00DF209E">
        <w:t xml:space="preserve">Это означает, что появившиеся за последние годы мелкие компании, производящие, </w:t>
      </w:r>
      <w:r w:rsidRPr="00DF209E">
        <w:lastRenderedPageBreak/>
        <w:t xml:space="preserve">продающие и устанавливающие </w:t>
      </w:r>
      <w:r w:rsidRPr="00DF209E">
        <w:rPr>
          <w:bCs/>
        </w:rPr>
        <w:t>окна</w:t>
      </w:r>
      <w:r w:rsidRPr="00DF209E">
        <w:t xml:space="preserve">, уйдут с рынка. А крупные компании сконцентрируются на новостройках, индивидуальном жилищном строительстве. </w:t>
      </w:r>
    </w:p>
    <w:p w:rsidR="00B76EFD" w:rsidRPr="00AE0CB7" w:rsidRDefault="00B76EFD" w:rsidP="00B17D23">
      <w:pPr>
        <w:ind w:firstLine="284"/>
      </w:pPr>
      <w:r w:rsidRPr="00181F55">
        <w:t>2012 год будет характеризоваться дальнейшим перераспределением объемов на рынке, усилением роли крупных и средних производителей СПК и уходом с рынка мелких компаний, чьи объемы будут распределяться между лидерами.</w:t>
      </w:r>
      <w:r w:rsidR="005E263F" w:rsidRPr="005E263F">
        <w:t xml:space="preserve"> </w:t>
      </w:r>
      <w:r w:rsidR="005E263F" w:rsidRPr="00AE0CB7">
        <w:t xml:space="preserve">Более того, </w:t>
      </w:r>
      <w:r w:rsidR="005E263F">
        <w:t>в дальнейшем,</w:t>
      </w:r>
      <w:r w:rsidR="005E263F" w:rsidRPr="00AE0CB7">
        <w:t xml:space="preserve"> сокращение коснется и компаний средних размеров. </w:t>
      </w:r>
    </w:p>
    <w:p w:rsidR="00B76EFD" w:rsidRPr="00AE0CB7" w:rsidRDefault="00B76EFD" w:rsidP="005E263F">
      <w:pPr>
        <w:ind w:firstLine="284"/>
      </w:pPr>
      <w:r w:rsidRPr="00AE0CB7">
        <w:t>В этих условиях компании неизбежно ищут новые ниши для развития</w:t>
      </w:r>
      <w:r>
        <w:t xml:space="preserve">. </w:t>
      </w:r>
      <w:r w:rsidRPr="00AE0CB7">
        <w:t>Внимание крупных компаний устремлено и н</w:t>
      </w:r>
      <w:r>
        <w:t xml:space="preserve">а </w:t>
      </w:r>
      <w:r w:rsidR="000B09BE">
        <w:t>………………………………………………………………………………………………………………………………………………………</w:t>
      </w:r>
      <w:r>
        <w:t xml:space="preserve">. </w:t>
      </w:r>
      <w:r w:rsidRPr="00AE0CB7">
        <w:t xml:space="preserve">Будет ли потенциал </w:t>
      </w:r>
      <w:r w:rsidR="000B09BE">
        <w:t>………………………………………………………………………………………………………………………………………………………</w:t>
      </w:r>
      <w:r w:rsidRPr="00AE0CB7">
        <w:t xml:space="preserve">, зависит от ряда факторов. Кроме этого, </w:t>
      </w:r>
      <w:proofErr w:type="gramStart"/>
      <w:r w:rsidRPr="00AE0CB7">
        <w:t>велик</w:t>
      </w:r>
      <w:proofErr w:type="gramEnd"/>
      <w:r w:rsidRPr="00AE0CB7">
        <w:t xml:space="preserve"> </w:t>
      </w:r>
      <w:r w:rsidR="000B09BE">
        <w:t>………………………………………………………………………………………………………………………………………………………</w:t>
      </w:r>
      <w:r>
        <w:t>.</w:t>
      </w:r>
    </w:p>
    <w:p w:rsidR="00B76EFD" w:rsidRPr="00AE0CB7" w:rsidRDefault="00B76EFD" w:rsidP="00B76EFD">
      <w:pPr>
        <w:ind w:firstLine="284"/>
      </w:pPr>
      <w:r w:rsidRPr="00AE0CB7">
        <w:t xml:space="preserve">Наконец изменится не только количественная, но и качественная структура рынка. Здесь Россия должна приблизиться к европейским стандартам. Все большую популярность приобретают теплые оконные системы: профиль с монтажной шириной </w:t>
      </w:r>
      <w:r w:rsidR="000B09BE">
        <w:t>…</w:t>
      </w:r>
      <w:r w:rsidRPr="00AE0CB7">
        <w:t xml:space="preserve"> </w:t>
      </w:r>
      <w:proofErr w:type="gramStart"/>
      <w:r w:rsidRPr="00AE0CB7">
        <w:t>мм</w:t>
      </w:r>
      <w:proofErr w:type="gramEnd"/>
      <w:r w:rsidRPr="00AE0CB7">
        <w:t xml:space="preserve"> в комбинации с широким стеклопакетом в </w:t>
      </w:r>
      <w:r w:rsidR="000B09BE">
        <w:t>…</w:t>
      </w:r>
      <w:r w:rsidRPr="00AE0CB7">
        <w:t xml:space="preserve">мм. По показателям </w:t>
      </w:r>
      <w:proofErr w:type="spellStart"/>
      <w:r w:rsidRPr="00AE0CB7">
        <w:t>теплосбережения</w:t>
      </w:r>
      <w:proofErr w:type="spellEnd"/>
      <w:r w:rsidRPr="00AE0CB7">
        <w:t xml:space="preserve"> данные продукты соответствуют техническим регламентам, пр</w:t>
      </w:r>
      <w:r>
        <w:t xml:space="preserve">инятым в </w:t>
      </w:r>
      <w:r w:rsidR="00B17D23">
        <w:t>России</w:t>
      </w:r>
      <w:r w:rsidRPr="005E263F">
        <w:t>.</w:t>
      </w:r>
      <w:r w:rsidR="005E263F" w:rsidRPr="005E263F">
        <w:t xml:space="preserve"> </w:t>
      </w:r>
      <w:r w:rsidRPr="005E263F">
        <w:t xml:space="preserve">Вопросы энергосбережения рано или поздно обретут практический смысл, что приведет не только к более активной замене старых </w:t>
      </w:r>
      <w:r w:rsidRPr="005E263F">
        <w:rPr>
          <w:bCs/>
        </w:rPr>
        <w:t>окон</w:t>
      </w:r>
      <w:r w:rsidRPr="005E263F">
        <w:t xml:space="preserve">, но и </w:t>
      </w:r>
      <w:r w:rsidR="005E263F">
        <w:t>про</w:t>
      </w:r>
      <w:r w:rsidRPr="005E263F">
        <w:t xml:space="preserve">стимулирует вторую волну замены </w:t>
      </w:r>
      <w:r w:rsidRPr="005E263F">
        <w:rPr>
          <w:bCs/>
        </w:rPr>
        <w:t>окон</w:t>
      </w:r>
      <w:r w:rsidR="005E263F">
        <w:t xml:space="preserve"> из ПВХ </w:t>
      </w:r>
      <w:proofErr w:type="gramStart"/>
      <w:r w:rsidR="005E263F">
        <w:t>на</w:t>
      </w:r>
      <w:proofErr w:type="gramEnd"/>
      <w:r w:rsidR="005E263F">
        <w:t xml:space="preserve"> более современные</w:t>
      </w:r>
      <w:r w:rsidRPr="005E263F">
        <w:t xml:space="preserve"> </w:t>
      </w:r>
      <w:proofErr w:type="spellStart"/>
      <w:r w:rsidRPr="005E263F">
        <w:t>теплосберегающие</w:t>
      </w:r>
      <w:proofErr w:type="spellEnd"/>
      <w:r w:rsidRPr="005E263F">
        <w:t>.</w:t>
      </w:r>
    </w:p>
    <w:p w:rsidR="00B76EFD" w:rsidRPr="005E263F" w:rsidRDefault="00B76EFD" w:rsidP="00B76EFD">
      <w:pPr>
        <w:ind w:firstLine="284"/>
      </w:pPr>
      <w:r w:rsidRPr="005E263F">
        <w:t xml:space="preserve">Можно прогнозировать и увеличение популярности </w:t>
      </w:r>
      <w:r w:rsidR="000B09BE">
        <w:t>………………………………………………………………………………………………………………………………………………………</w:t>
      </w:r>
      <w:r w:rsidRPr="005E263F">
        <w:t xml:space="preserve"> </w:t>
      </w:r>
    </w:p>
    <w:p w:rsidR="00B76EFD" w:rsidRPr="005F01A9" w:rsidRDefault="00B76EFD" w:rsidP="00B76EFD">
      <w:pPr>
        <w:ind w:firstLine="284"/>
      </w:pPr>
      <w:r w:rsidRPr="00AE0CB7">
        <w:t xml:space="preserve">Следует констатировать — резких изменений на рынке </w:t>
      </w:r>
      <w:r w:rsidRPr="005E263F">
        <w:rPr>
          <w:bCs/>
        </w:rPr>
        <w:t>ПВХ-окон</w:t>
      </w:r>
      <w:r w:rsidRPr="00AE0CB7">
        <w:t xml:space="preserve"> в целом не будет. Однако постепенные преобразования, связанные с изменением качества требований потребителя, структуры рынка и укрупнением бизнеса, в ближайшее время </w:t>
      </w:r>
      <w:r w:rsidR="004A6D1E">
        <w:t xml:space="preserve">произойдут. </w:t>
      </w:r>
      <w:r w:rsidRPr="00AE0CB7">
        <w:t xml:space="preserve">На рынке окончательно </w:t>
      </w:r>
      <w:r w:rsidR="000B09BE">
        <w:t>………………………………………………………………………………………………………………………………………………………</w:t>
      </w:r>
      <w:r w:rsidRPr="00AE0CB7">
        <w:t xml:space="preserve">. </w:t>
      </w:r>
    </w:p>
    <w:p w:rsidR="005F01A9" w:rsidRPr="00F06F19" w:rsidRDefault="005F01A9" w:rsidP="00B76EFD">
      <w:pPr>
        <w:ind w:firstLine="284"/>
      </w:pPr>
    </w:p>
    <w:p w:rsidR="004A211A" w:rsidRPr="00053AC6" w:rsidRDefault="004A211A" w:rsidP="00053AC6">
      <w:pPr>
        <w:tabs>
          <w:tab w:val="left" w:pos="3240"/>
        </w:tabs>
        <w:rPr>
          <w:sz w:val="18"/>
        </w:rPr>
      </w:pPr>
    </w:p>
    <w:sectPr w:rsidR="004A211A" w:rsidRPr="00053AC6" w:rsidSect="00DE336C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08" w:rsidRDefault="00AC6908" w:rsidP="00DE336C">
      <w:pPr>
        <w:spacing w:after="0" w:line="240" w:lineRule="auto"/>
      </w:pPr>
      <w:r>
        <w:separator/>
      </w:r>
    </w:p>
  </w:endnote>
  <w:endnote w:type="continuationSeparator" w:id="0">
    <w:p w:rsidR="00AC6908" w:rsidRDefault="00AC6908" w:rsidP="00DE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08" w:rsidRDefault="00AC6908" w:rsidP="00DE336C">
      <w:pPr>
        <w:spacing w:after="0" w:line="240" w:lineRule="auto"/>
      </w:pPr>
      <w:r>
        <w:separator/>
      </w:r>
    </w:p>
  </w:footnote>
  <w:footnote w:type="continuationSeparator" w:id="0">
    <w:p w:rsidR="00AC6908" w:rsidRDefault="00AC6908" w:rsidP="00DE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882"/>
    <w:multiLevelType w:val="hybridMultilevel"/>
    <w:tmpl w:val="B7DE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AB3"/>
    <w:multiLevelType w:val="multilevel"/>
    <w:tmpl w:val="A3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02DB9"/>
    <w:multiLevelType w:val="multilevel"/>
    <w:tmpl w:val="B936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7913C2"/>
    <w:multiLevelType w:val="hybridMultilevel"/>
    <w:tmpl w:val="D70C759E"/>
    <w:lvl w:ilvl="0" w:tplc="A3821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61C4"/>
    <w:multiLevelType w:val="multilevel"/>
    <w:tmpl w:val="B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A"/>
    <w:rsid w:val="0003364D"/>
    <w:rsid w:val="00045A13"/>
    <w:rsid w:val="000528A0"/>
    <w:rsid w:val="00053AC6"/>
    <w:rsid w:val="00062BDC"/>
    <w:rsid w:val="00087BB5"/>
    <w:rsid w:val="000B09BE"/>
    <w:rsid w:val="000B0D88"/>
    <w:rsid w:val="000B0E1B"/>
    <w:rsid w:val="000D5E9F"/>
    <w:rsid w:val="000E379B"/>
    <w:rsid w:val="000E67EA"/>
    <w:rsid w:val="000F3E8F"/>
    <w:rsid w:val="00123B6D"/>
    <w:rsid w:val="00125324"/>
    <w:rsid w:val="00154784"/>
    <w:rsid w:val="0015616D"/>
    <w:rsid w:val="00157702"/>
    <w:rsid w:val="00181A34"/>
    <w:rsid w:val="00181F55"/>
    <w:rsid w:val="0019356A"/>
    <w:rsid w:val="001A6EC9"/>
    <w:rsid w:val="001C1207"/>
    <w:rsid w:val="001D06A6"/>
    <w:rsid w:val="001D7B19"/>
    <w:rsid w:val="001E42BD"/>
    <w:rsid w:val="001F42E0"/>
    <w:rsid w:val="00200FCA"/>
    <w:rsid w:val="0020695E"/>
    <w:rsid w:val="00235FC8"/>
    <w:rsid w:val="002362CB"/>
    <w:rsid w:val="0025692D"/>
    <w:rsid w:val="00265CF2"/>
    <w:rsid w:val="00291E93"/>
    <w:rsid w:val="002A3176"/>
    <w:rsid w:val="002D0A3D"/>
    <w:rsid w:val="002D3D42"/>
    <w:rsid w:val="002D52D3"/>
    <w:rsid w:val="002D6848"/>
    <w:rsid w:val="002E38DD"/>
    <w:rsid w:val="002E63C5"/>
    <w:rsid w:val="002F4727"/>
    <w:rsid w:val="00303BDD"/>
    <w:rsid w:val="003056A5"/>
    <w:rsid w:val="00345975"/>
    <w:rsid w:val="00346006"/>
    <w:rsid w:val="003502B5"/>
    <w:rsid w:val="0035743B"/>
    <w:rsid w:val="00376618"/>
    <w:rsid w:val="003821C9"/>
    <w:rsid w:val="003A784F"/>
    <w:rsid w:val="003C429A"/>
    <w:rsid w:val="003D38BA"/>
    <w:rsid w:val="003F1788"/>
    <w:rsid w:val="00413038"/>
    <w:rsid w:val="0043333F"/>
    <w:rsid w:val="00446025"/>
    <w:rsid w:val="00454445"/>
    <w:rsid w:val="00476165"/>
    <w:rsid w:val="00477C17"/>
    <w:rsid w:val="00481428"/>
    <w:rsid w:val="004927EF"/>
    <w:rsid w:val="004A211A"/>
    <w:rsid w:val="004A6D1E"/>
    <w:rsid w:val="004B6BAE"/>
    <w:rsid w:val="004D56BF"/>
    <w:rsid w:val="004F31A5"/>
    <w:rsid w:val="004F5A3F"/>
    <w:rsid w:val="00506A73"/>
    <w:rsid w:val="005158CF"/>
    <w:rsid w:val="005257B2"/>
    <w:rsid w:val="00527A64"/>
    <w:rsid w:val="005450A3"/>
    <w:rsid w:val="005654D1"/>
    <w:rsid w:val="005774BE"/>
    <w:rsid w:val="005A38B5"/>
    <w:rsid w:val="005A59FD"/>
    <w:rsid w:val="005B7B3A"/>
    <w:rsid w:val="005C092A"/>
    <w:rsid w:val="005E263F"/>
    <w:rsid w:val="005F01A9"/>
    <w:rsid w:val="005F0F96"/>
    <w:rsid w:val="005F394A"/>
    <w:rsid w:val="005F52C1"/>
    <w:rsid w:val="00602EFB"/>
    <w:rsid w:val="00612B67"/>
    <w:rsid w:val="0061378A"/>
    <w:rsid w:val="006343FC"/>
    <w:rsid w:val="006450CD"/>
    <w:rsid w:val="0065080B"/>
    <w:rsid w:val="00652297"/>
    <w:rsid w:val="006601E4"/>
    <w:rsid w:val="00662BA1"/>
    <w:rsid w:val="00665882"/>
    <w:rsid w:val="00665986"/>
    <w:rsid w:val="00665FC6"/>
    <w:rsid w:val="00681089"/>
    <w:rsid w:val="006919F1"/>
    <w:rsid w:val="006B04EA"/>
    <w:rsid w:val="006B48C9"/>
    <w:rsid w:val="006C4AEE"/>
    <w:rsid w:val="006E6E10"/>
    <w:rsid w:val="006F017E"/>
    <w:rsid w:val="006F5ACD"/>
    <w:rsid w:val="006F6A66"/>
    <w:rsid w:val="007430C6"/>
    <w:rsid w:val="00747FEB"/>
    <w:rsid w:val="00780277"/>
    <w:rsid w:val="007B7D14"/>
    <w:rsid w:val="007D0872"/>
    <w:rsid w:val="007D3723"/>
    <w:rsid w:val="007E0305"/>
    <w:rsid w:val="007F532E"/>
    <w:rsid w:val="00802EF3"/>
    <w:rsid w:val="00815D32"/>
    <w:rsid w:val="00826926"/>
    <w:rsid w:val="00827E14"/>
    <w:rsid w:val="00837289"/>
    <w:rsid w:val="008427B4"/>
    <w:rsid w:val="0085752B"/>
    <w:rsid w:val="00865764"/>
    <w:rsid w:val="008C3582"/>
    <w:rsid w:val="008C57C7"/>
    <w:rsid w:val="008D13D2"/>
    <w:rsid w:val="008D578C"/>
    <w:rsid w:val="008F28DC"/>
    <w:rsid w:val="008F7048"/>
    <w:rsid w:val="0091012F"/>
    <w:rsid w:val="0092252C"/>
    <w:rsid w:val="00924A82"/>
    <w:rsid w:val="0092601C"/>
    <w:rsid w:val="0094038A"/>
    <w:rsid w:val="00970F9B"/>
    <w:rsid w:val="009823F9"/>
    <w:rsid w:val="0098279B"/>
    <w:rsid w:val="00983D2D"/>
    <w:rsid w:val="00996A60"/>
    <w:rsid w:val="009A5CED"/>
    <w:rsid w:val="009B3ABA"/>
    <w:rsid w:val="009C005C"/>
    <w:rsid w:val="009D1CBA"/>
    <w:rsid w:val="00A14809"/>
    <w:rsid w:val="00A43BA6"/>
    <w:rsid w:val="00A47696"/>
    <w:rsid w:val="00A51A04"/>
    <w:rsid w:val="00A53A74"/>
    <w:rsid w:val="00A72E2C"/>
    <w:rsid w:val="00AA7324"/>
    <w:rsid w:val="00AC6908"/>
    <w:rsid w:val="00AD4F31"/>
    <w:rsid w:val="00AD6B29"/>
    <w:rsid w:val="00AD6B5B"/>
    <w:rsid w:val="00AE0CB7"/>
    <w:rsid w:val="00AE1903"/>
    <w:rsid w:val="00AE5CBB"/>
    <w:rsid w:val="00B17D23"/>
    <w:rsid w:val="00B20370"/>
    <w:rsid w:val="00B2095E"/>
    <w:rsid w:val="00B24113"/>
    <w:rsid w:val="00B33903"/>
    <w:rsid w:val="00B543F6"/>
    <w:rsid w:val="00B55024"/>
    <w:rsid w:val="00B57089"/>
    <w:rsid w:val="00B76EFD"/>
    <w:rsid w:val="00B81649"/>
    <w:rsid w:val="00B95AD4"/>
    <w:rsid w:val="00BB02AE"/>
    <w:rsid w:val="00BC40DA"/>
    <w:rsid w:val="00BE11EC"/>
    <w:rsid w:val="00C1610C"/>
    <w:rsid w:val="00C25AD0"/>
    <w:rsid w:val="00C44719"/>
    <w:rsid w:val="00C4664B"/>
    <w:rsid w:val="00C56D44"/>
    <w:rsid w:val="00C9343B"/>
    <w:rsid w:val="00CB6066"/>
    <w:rsid w:val="00CD0384"/>
    <w:rsid w:val="00CF19DC"/>
    <w:rsid w:val="00CF352A"/>
    <w:rsid w:val="00CF3679"/>
    <w:rsid w:val="00CF628C"/>
    <w:rsid w:val="00D17E3B"/>
    <w:rsid w:val="00D3480A"/>
    <w:rsid w:val="00D3573B"/>
    <w:rsid w:val="00D42201"/>
    <w:rsid w:val="00D44D16"/>
    <w:rsid w:val="00D46D36"/>
    <w:rsid w:val="00D51D9C"/>
    <w:rsid w:val="00D82F29"/>
    <w:rsid w:val="00D94E1C"/>
    <w:rsid w:val="00DA13DC"/>
    <w:rsid w:val="00DC7175"/>
    <w:rsid w:val="00DD14E5"/>
    <w:rsid w:val="00DE336C"/>
    <w:rsid w:val="00DE5B51"/>
    <w:rsid w:val="00E01107"/>
    <w:rsid w:val="00E112BD"/>
    <w:rsid w:val="00E155AD"/>
    <w:rsid w:val="00E276CD"/>
    <w:rsid w:val="00E30A8E"/>
    <w:rsid w:val="00E317A3"/>
    <w:rsid w:val="00E61C84"/>
    <w:rsid w:val="00E6601B"/>
    <w:rsid w:val="00E764F4"/>
    <w:rsid w:val="00EB0370"/>
    <w:rsid w:val="00EB2B0C"/>
    <w:rsid w:val="00EB752D"/>
    <w:rsid w:val="00F06F19"/>
    <w:rsid w:val="00F13172"/>
    <w:rsid w:val="00F576F5"/>
    <w:rsid w:val="00F64A0F"/>
    <w:rsid w:val="00F817AB"/>
    <w:rsid w:val="00FA19B0"/>
    <w:rsid w:val="00FD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9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mi-callto">
    <w:name w:val="wmi-callto"/>
    <w:basedOn w:val="a0"/>
    <w:rsid w:val="00FA19B0"/>
  </w:style>
  <w:style w:type="character" w:customStyle="1" w:styleId="10">
    <w:name w:val="Заголовок 1 Знак"/>
    <w:basedOn w:val="a0"/>
    <w:link w:val="1"/>
    <w:uiPriority w:val="9"/>
    <w:rsid w:val="00FA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422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B7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056A5"/>
    <w:rPr>
      <w:color w:val="0000FF"/>
      <w:u w:val="single"/>
    </w:rPr>
  </w:style>
  <w:style w:type="character" w:customStyle="1" w:styleId="euro">
    <w:name w:val="euro"/>
    <w:basedOn w:val="a0"/>
    <w:rsid w:val="0098279B"/>
  </w:style>
  <w:style w:type="character" w:customStyle="1" w:styleId="apple-style-span">
    <w:name w:val="apple-style-span"/>
    <w:basedOn w:val="a0"/>
    <w:rsid w:val="00B2095E"/>
  </w:style>
  <w:style w:type="paragraph" w:styleId="HTML">
    <w:name w:val="HTML Preformatted"/>
    <w:basedOn w:val="a"/>
    <w:link w:val="HTML0"/>
    <w:uiPriority w:val="99"/>
    <w:unhideWhenUsed/>
    <w:rsid w:val="008F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0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92252C"/>
    <w:rPr>
      <w:i/>
      <w:iCs/>
    </w:rPr>
  </w:style>
  <w:style w:type="paragraph" w:styleId="a9">
    <w:name w:val="caption"/>
    <w:basedOn w:val="a"/>
    <w:next w:val="a"/>
    <w:uiPriority w:val="35"/>
    <w:unhideWhenUsed/>
    <w:qFormat/>
    <w:rsid w:val="00B203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A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43B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C09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c">
    <w:name w:val="List Paragraph"/>
    <w:basedOn w:val="a"/>
    <w:uiPriority w:val="34"/>
    <w:qFormat/>
    <w:rsid w:val="00E6601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D5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56BF"/>
    <w:pPr>
      <w:spacing w:after="120"/>
    </w:pPr>
    <w:rPr>
      <w:rFonts w:eastAsia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D56BF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4D56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56BF"/>
    <w:rPr>
      <w:rFonts w:ascii="Times New Roman" w:hAnsi="Times New Roman"/>
      <w:sz w:val="24"/>
    </w:rPr>
  </w:style>
  <w:style w:type="paragraph" w:customStyle="1" w:styleId="31">
    <w:name w:val="Стиль3"/>
    <w:basedOn w:val="23"/>
    <w:rsid w:val="004D56BF"/>
    <w:pPr>
      <w:spacing w:after="0" w:line="360" w:lineRule="auto"/>
      <w:ind w:firstLine="709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56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56BF"/>
    <w:rPr>
      <w:rFonts w:ascii="Times New Roman" w:hAnsi="Times New Roman"/>
      <w:sz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4A6D1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BDC"/>
    <w:pPr>
      <w:tabs>
        <w:tab w:val="right" w:leader="dot" w:pos="9345"/>
      </w:tabs>
      <w:spacing w:after="100"/>
    </w:pPr>
    <w:rPr>
      <w:b/>
      <w:noProof/>
    </w:rPr>
  </w:style>
  <w:style w:type="paragraph" w:styleId="32">
    <w:name w:val="toc 3"/>
    <w:basedOn w:val="a"/>
    <w:next w:val="a"/>
    <w:autoRedefine/>
    <w:uiPriority w:val="39"/>
    <w:unhideWhenUsed/>
    <w:rsid w:val="004A6D1E"/>
    <w:pPr>
      <w:spacing w:after="100"/>
      <w:ind w:left="480"/>
    </w:pPr>
  </w:style>
  <w:style w:type="paragraph" w:styleId="af2">
    <w:name w:val="header"/>
    <w:basedOn w:val="a"/>
    <w:link w:val="af3"/>
    <w:uiPriority w:val="99"/>
    <w:unhideWhenUsed/>
    <w:rsid w:val="00D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E336C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D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E336C"/>
    <w:rPr>
      <w:rFonts w:ascii="Times New Roman" w:hAnsi="Times New Roman"/>
      <w:sz w:val="24"/>
    </w:rPr>
  </w:style>
  <w:style w:type="paragraph" w:styleId="af6">
    <w:name w:val="table of figures"/>
    <w:basedOn w:val="a"/>
    <w:next w:val="a"/>
    <w:uiPriority w:val="99"/>
    <w:unhideWhenUsed/>
    <w:rsid w:val="00062BD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9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mi-callto">
    <w:name w:val="wmi-callto"/>
    <w:basedOn w:val="a0"/>
    <w:rsid w:val="00FA19B0"/>
  </w:style>
  <w:style w:type="character" w:customStyle="1" w:styleId="10">
    <w:name w:val="Заголовок 1 Знак"/>
    <w:basedOn w:val="a0"/>
    <w:link w:val="1"/>
    <w:uiPriority w:val="9"/>
    <w:rsid w:val="00FA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422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B7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056A5"/>
    <w:rPr>
      <w:color w:val="0000FF"/>
      <w:u w:val="single"/>
    </w:rPr>
  </w:style>
  <w:style w:type="character" w:customStyle="1" w:styleId="euro">
    <w:name w:val="euro"/>
    <w:basedOn w:val="a0"/>
    <w:rsid w:val="0098279B"/>
  </w:style>
  <w:style w:type="character" w:customStyle="1" w:styleId="apple-style-span">
    <w:name w:val="apple-style-span"/>
    <w:basedOn w:val="a0"/>
    <w:rsid w:val="00B2095E"/>
  </w:style>
  <w:style w:type="paragraph" w:styleId="HTML">
    <w:name w:val="HTML Preformatted"/>
    <w:basedOn w:val="a"/>
    <w:link w:val="HTML0"/>
    <w:uiPriority w:val="99"/>
    <w:unhideWhenUsed/>
    <w:rsid w:val="008F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0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92252C"/>
    <w:rPr>
      <w:i/>
      <w:iCs/>
    </w:rPr>
  </w:style>
  <w:style w:type="paragraph" w:styleId="a9">
    <w:name w:val="caption"/>
    <w:basedOn w:val="a"/>
    <w:next w:val="a"/>
    <w:uiPriority w:val="35"/>
    <w:unhideWhenUsed/>
    <w:qFormat/>
    <w:rsid w:val="00B203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A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43B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C09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c">
    <w:name w:val="List Paragraph"/>
    <w:basedOn w:val="a"/>
    <w:uiPriority w:val="34"/>
    <w:qFormat/>
    <w:rsid w:val="00E6601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D5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56BF"/>
    <w:pPr>
      <w:spacing w:after="120"/>
    </w:pPr>
    <w:rPr>
      <w:rFonts w:eastAsia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D56BF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4D56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56BF"/>
    <w:rPr>
      <w:rFonts w:ascii="Times New Roman" w:hAnsi="Times New Roman"/>
      <w:sz w:val="24"/>
    </w:rPr>
  </w:style>
  <w:style w:type="paragraph" w:customStyle="1" w:styleId="31">
    <w:name w:val="Стиль3"/>
    <w:basedOn w:val="23"/>
    <w:rsid w:val="004D56BF"/>
    <w:pPr>
      <w:spacing w:after="0" w:line="360" w:lineRule="auto"/>
      <w:ind w:firstLine="709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56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56BF"/>
    <w:rPr>
      <w:rFonts w:ascii="Times New Roman" w:hAnsi="Times New Roman"/>
      <w:sz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4A6D1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BDC"/>
    <w:pPr>
      <w:tabs>
        <w:tab w:val="right" w:leader="dot" w:pos="9345"/>
      </w:tabs>
      <w:spacing w:after="100"/>
    </w:pPr>
    <w:rPr>
      <w:b/>
      <w:noProof/>
    </w:rPr>
  </w:style>
  <w:style w:type="paragraph" w:styleId="32">
    <w:name w:val="toc 3"/>
    <w:basedOn w:val="a"/>
    <w:next w:val="a"/>
    <w:autoRedefine/>
    <w:uiPriority w:val="39"/>
    <w:unhideWhenUsed/>
    <w:rsid w:val="004A6D1E"/>
    <w:pPr>
      <w:spacing w:after="100"/>
      <w:ind w:left="480"/>
    </w:pPr>
  </w:style>
  <w:style w:type="paragraph" w:styleId="af2">
    <w:name w:val="header"/>
    <w:basedOn w:val="a"/>
    <w:link w:val="af3"/>
    <w:uiPriority w:val="99"/>
    <w:unhideWhenUsed/>
    <w:rsid w:val="00D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E336C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D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E336C"/>
    <w:rPr>
      <w:rFonts w:ascii="Times New Roman" w:hAnsi="Times New Roman"/>
      <w:sz w:val="24"/>
    </w:rPr>
  </w:style>
  <w:style w:type="paragraph" w:styleId="af6">
    <w:name w:val="table of figures"/>
    <w:basedOn w:val="a"/>
    <w:next w:val="a"/>
    <w:uiPriority w:val="99"/>
    <w:unhideWhenUsed/>
    <w:rsid w:val="00062BD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230-E5BE-4D15-8092-3413607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02</cp:lastModifiedBy>
  <cp:revision>6</cp:revision>
  <dcterms:created xsi:type="dcterms:W3CDTF">2012-04-25T12:54:00Z</dcterms:created>
  <dcterms:modified xsi:type="dcterms:W3CDTF">2012-07-04T09:35:00Z</dcterms:modified>
</cp:coreProperties>
</file>